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3.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4.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6.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A8512" w14:textId="3FFD1670" w:rsidR="0037482F" w:rsidRDefault="00F1592F" w:rsidP="000666EA">
      <w:pPr>
        <w:pStyle w:val="UNIDAVISEOPRIMRIA"/>
        <w:rPr>
          <w:lang w:val="pt-BR"/>
        </w:rPr>
      </w:pPr>
      <w:r>
        <w:rPr>
          <w:noProof/>
          <w:lang w:val="pt-BR" w:eastAsia="pt-BR"/>
        </w:rPr>
        <mc:AlternateContent>
          <mc:Choice Requires="wps">
            <w:drawing>
              <wp:anchor distT="0" distB="0" distL="114300" distR="114300" simplePos="0" relativeHeight="251691008" behindDoc="0" locked="0" layoutInCell="1" allowOverlap="1" wp14:anchorId="54248507" wp14:editId="1C73E5E0">
                <wp:simplePos x="0" y="0"/>
                <wp:positionH relativeFrom="column">
                  <wp:posOffset>5353050</wp:posOffset>
                </wp:positionH>
                <wp:positionV relativeFrom="paragraph">
                  <wp:posOffset>-631190</wp:posOffset>
                </wp:positionV>
                <wp:extent cx="295275" cy="323850"/>
                <wp:effectExtent l="0" t="0" r="28575" b="19050"/>
                <wp:wrapNone/>
                <wp:docPr id="17" name="Elipse 17"/>
                <wp:cNvGraphicFramePr/>
                <a:graphic xmlns:a="http://schemas.openxmlformats.org/drawingml/2006/main">
                  <a:graphicData uri="http://schemas.microsoft.com/office/word/2010/wordprocessingShape">
                    <wps:wsp>
                      <wps:cNvSpPr/>
                      <wps:spPr>
                        <a:xfrm>
                          <a:off x="0" y="0"/>
                          <a:ext cx="295275" cy="3238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1D4458" id="Elipse 17" o:spid="_x0000_s1026" style="position:absolute;margin-left:421.5pt;margin-top:-49.7pt;width:23.25pt;height:2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" fillcolor="white [3212]" strokecolor="white [3212]" strokeweight="1pt">
                <v:stroke joinstyle="miter"/>
              </v:oval>
            </w:pict>
          </mc:Fallback>
        </mc:AlternateContent>
      </w:r>
    </w:p>
    <w:p w14:paraId="12390DE3" w14:textId="5EF106B0" w:rsidR="00AA10EA" w:rsidRPr="00720A7D" w:rsidRDefault="00B8782F" w:rsidP="00F8000B">
      <w:pPr>
        <w:pStyle w:val="UNIDAVISEOPRIMRIA"/>
        <w:jc w:val="center"/>
        <w:rPr>
          <w:lang w:val="pt-BR"/>
        </w:rPr>
      </w:pPr>
      <w:r w:rsidRPr="00B8782F">
        <w:rPr>
          <w:noProof/>
          <w:lang w:val="pt-BR" w:eastAsia="pt-BR"/>
        </w:rPr>
        <mc:AlternateContent>
          <mc:Choice Requires="wps">
            <w:drawing>
              <wp:anchor distT="45720" distB="45720" distL="114300" distR="114300" simplePos="0" relativeHeight="251659264" behindDoc="0" locked="0" layoutInCell="1" allowOverlap="1" wp14:anchorId="45F0D7B8" wp14:editId="43908F2D">
                <wp:simplePos x="0" y="0"/>
                <wp:positionH relativeFrom="margin">
                  <wp:posOffset>5577840</wp:posOffset>
                </wp:positionH>
                <wp:positionV relativeFrom="paragraph">
                  <wp:posOffset>-632460</wp:posOffset>
                </wp:positionV>
                <wp:extent cx="219075" cy="200025"/>
                <wp:effectExtent l="0" t="0" r="9525" b="952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noFill/>
                          <a:miter lim="800000"/>
                          <a:headEnd/>
                          <a:tailEnd/>
                        </a:ln>
                      </wps:spPr>
                      <wps:txbx>
                        <w:txbxContent>
                          <w:p w14:paraId="09F5357C" w14:textId="77777777" w:rsidR="00DF47F4" w:rsidRDefault="00DF4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F0D7B8" id="_x0000_t202" coordsize="21600,21600" o:spt="202" path="m,l,21600r21600,l21600,xe">
                <v:stroke joinstyle="miter"/>
                <v:path gradientshapeok="t" o:connecttype="rect"/>
              </v:shapetype>
              <v:shape id="Caixa de Texto 2" o:spid="_x0000_s1026" type="#_x0000_t202" style="position:absolute;left:0;text-align:left;margin-left:439.2pt;margin-top:-49.8pt;width:17.25pt;height:15.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" stroked="f">
                <v:textbox>
                  <w:txbxContent>
                    <w:p w14:paraId="09F5357C" w14:textId="77777777" w:rsidR="00DF47F4" w:rsidRDefault="00DF47F4"/>
                  </w:txbxContent>
                </v:textbox>
                <w10:wrap anchorx="margin"/>
              </v:shape>
            </w:pict>
          </mc:Fallback>
        </mc:AlternateContent>
      </w:r>
      <w:r w:rsidR="00AA10EA" w:rsidRPr="00720A7D">
        <w:rPr>
          <w:lang w:val="pt-BR"/>
        </w:rPr>
        <w:t>CENTRO UNIVERSITÁRIO PARA O DESENVOLVIMENTO DO ALTO VALE DO ITAJAÍ - UNIDAVI</w:t>
      </w:r>
    </w:p>
    <w:p w14:paraId="31D66627" w14:textId="77777777" w:rsidR="00AA10EA" w:rsidRPr="00B33EA9" w:rsidRDefault="00AA10EA" w:rsidP="00F8000B"/>
    <w:p w14:paraId="0919B1D9" w14:textId="12BC7A09" w:rsidR="00AA10EA" w:rsidRPr="00720A7D" w:rsidRDefault="005267C2" w:rsidP="00F8000B">
      <w:pPr>
        <w:pStyle w:val="UNIDAVISEOPRIMRIA"/>
        <w:jc w:val="center"/>
        <w:rPr>
          <w:lang w:val="pt-BR"/>
        </w:rPr>
      </w:pPr>
      <w:r>
        <w:rPr>
          <w:lang w:val="pt-BR"/>
        </w:rPr>
        <w:t>jaqueline aparecida dos santos</w:t>
      </w:r>
    </w:p>
    <w:p w14:paraId="39C896D7" w14:textId="77777777" w:rsidR="00AA10EA" w:rsidRPr="00B33EA9" w:rsidRDefault="00AA10EA" w:rsidP="00F8000B"/>
    <w:p w14:paraId="5F4F9B1B" w14:textId="77777777" w:rsidR="00AA10EA" w:rsidRPr="00B33EA9" w:rsidRDefault="00AA10EA" w:rsidP="00F8000B"/>
    <w:p w14:paraId="0BFE5552" w14:textId="77777777" w:rsidR="00AA10EA" w:rsidRPr="00B33EA9" w:rsidRDefault="00AA10EA" w:rsidP="00F8000B"/>
    <w:p w14:paraId="371BDD97" w14:textId="77777777" w:rsidR="00AA10EA" w:rsidRPr="00B33EA9" w:rsidRDefault="00AA10EA" w:rsidP="00F8000B"/>
    <w:p w14:paraId="4310C98A" w14:textId="77777777" w:rsidR="00AA10EA" w:rsidRPr="00B33EA9" w:rsidRDefault="00AA10EA" w:rsidP="00F8000B"/>
    <w:p w14:paraId="76108B3F" w14:textId="77777777" w:rsidR="00AA10EA" w:rsidRPr="00B33EA9" w:rsidRDefault="00AA10EA" w:rsidP="00F8000B"/>
    <w:p w14:paraId="73BAE11A" w14:textId="77777777" w:rsidR="00AA10EA" w:rsidRPr="00B33EA9" w:rsidRDefault="00AA10EA" w:rsidP="00F8000B"/>
    <w:p w14:paraId="635A8DF7" w14:textId="77777777" w:rsidR="00AA10EA" w:rsidRPr="00B33EA9" w:rsidRDefault="00AA10EA" w:rsidP="00F8000B"/>
    <w:p w14:paraId="24052FBF" w14:textId="77777777" w:rsidR="00AA10EA" w:rsidRPr="00B33EA9" w:rsidRDefault="00AA10EA" w:rsidP="00F8000B"/>
    <w:p w14:paraId="76058541" w14:textId="77777777" w:rsidR="00AA10EA" w:rsidRPr="00B33EA9" w:rsidRDefault="00AA10EA" w:rsidP="00F8000B"/>
    <w:p w14:paraId="4CD60AC5" w14:textId="77777777" w:rsidR="00AA10EA" w:rsidRPr="00577FD7" w:rsidRDefault="00AA10EA" w:rsidP="00F8000B">
      <w:pPr>
        <w:rPr>
          <w:b/>
        </w:rPr>
      </w:pPr>
    </w:p>
    <w:p w14:paraId="4A6800A8" w14:textId="77777777" w:rsidR="00AA10EA" w:rsidRPr="00B33EA9" w:rsidRDefault="00AA10EA" w:rsidP="00F8000B"/>
    <w:p w14:paraId="12EE05C0" w14:textId="77777777" w:rsidR="00AA10EA" w:rsidRDefault="00AA10EA" w:rsidP="00F8000B"/>
    <w:p w14:paraId="505F4C9F" w14:textId="77777777" w:rsidR="00514B92" w:rsidRPr="00B33EA9" w:rsidRDefault="00514B92" w:rsidP="00F8000B"/>
    <w:p w14:paraId="730B609A" w14:textId="77777777" w:rsidR="00AA10EA" w:rsidRPr="00B33EA9" w:rsidRDefault="00AA10EA" w:rsidP="00F8000B"/>
    <w:p w14:paraId="1685E2EB" w14:textId="77777777" w:rsidR="00AA10EA" w:rsidRPr="00B33EA9" w:rsidRDefault="00AA10EA" w:rsidP="00F8000B"/>
    <w:p w14:paraId="295F054C" w14:textId="77777777" w:rsidR="00AA10EA" w:rsidRDefault="00AA10EA" w:rsidP="00F8000B"/>
    <w:p w14:paraId="3D5B09BA" w14:textId="77777777" w:rsidR="00514B92" w:rsidRPr="00B33EA9" w:rsidRDefault="00514B92" w:rsidP="00F8000B"/>
    <w:p w14:paraId="68910B98" w14:textId="77777777" w:rsidR="00AA10EA" w:rsidRPr="00B33EA9" w:rsidRDefault="00AA10EA" w:rsidP="00F8000B"/>
    <w:p w14:paraId="1F76BD0F" w14:textId="77777777" w:rsidR="00AA10EA" w:rsidRPr="00B33EA9" w:rsidRDefault="00AA10EA" w:rsidP="00F8000B"/>
    <w:p w14:paraId="293F9F13" w14:textId="1B608E49" w:rsidR="00AA10EA" w:rsidRPr="00720A7D" w:rsidRDefault="00067E29" w:rsidP="00F8000B">
      <w:pPr>
        <w:pStyle w:val="UNIDAVISEOPRIMRIA"/>
        <w:jc w:val="center"/>
        <w:rPr>
          <w:lang w:val="pt-BR"/>
        </w:rPr>
      </w:pPr>
      <w:r>
        <w:rPr>
          <w:lang w:val="pt-BR"/>
        </w:rPr>
        <w:t>licitações</w:t>
      </w:r>
      <w:r w:rsidR="009E3F1D">
        <w:rPr>
          <w:lang w:val="pt-BR"/>
        </w:rPr>
        <w:t xml:space="preserve"> no município de taió</w:t>
      </w:r>
    </w:p>
    <w:p w14:paraId="08C65F57" w14:textId="77777777" w:rsidR="00AA10EA" w:rsidRPr="00B33EA9" w:rsidRDefault="00AA10EA" w:rsidP="00F8000B"/>
    <w:p w14:paraId="3D44525D" w14:textId="77777777" w:rsidR="00AA10EA" w:rsidRPr="00B33EA9" w:rsidRDefault="00AA10EA" w:rsidP="00F8000B"/>
    <w:p w14:paraId="011897C0" w14:textId="77777777" w:rsidR="00AA10EA" w:rsidRPr="00B33EA9" w:rsidRDefault="00AA10EA" w:rsidP="00F8000B"/>
    <w:p w14:paraId="27824BB0" w14:textId="77777777" w:rsidR="00AA10EA" w:rsidRPr="00B33EA9" w:rsidRDefault="00AA10EA" w:rsidP="00F8000B"/>
    <w:p w14:paraId="4C9E557C" w14:textId="77777777" w:rsidR="00AA10EA" w:rsidRPr="00B33EA9" w:rsidRDefault="00AA10EA" w:rsidP="00F8000B"/>
    <w:p w14:paraId="71426460" w14:textId="77777777" w:rsidR="00AA10EA" w:rsidRPr="00B33EA9" w:rsidRDefault="00AA10EA" w:rsidP="00F8000B"/>
    <w:p w14:paraId="1B11B5CE" w14:textId="77777777" w:rsidR="00AA10EA" w:rsidRPr="00B33EA9" w:rsidRDefault="00AA10EA" w:rsidP="00F8000B"/>
    <w:p w14:paraId="11786E4A" w14:textId="77777777" w:rsidR="00AA10EA" w:rsidRPr="00B33EA9" w:rsidRDefault="00AA10EA" w:rsidP="00F8000B"/>
    <w:p w14:paraId="542BC72D" w14:textId="77777777" w:rsidR="00AA10EA" w:rsidRPr="00B33EA9" w:rsidRDefault="00AA10EA" w:rsidP="00F8000B"/>
    <w:p w14:paraId="2E84EF54" w14:textId="77777777" w:rsidR="00AA10EA" w:rsidRPr="00B33EA9" w:rsidRDefault="00AA10EA" w:rsidP="00F8000B"/>
    <w:p w14:paraId="3CDE2529" w14:textId="77777777" w:rsidR="00AA10EA" w:rsidRPr="00B33EA9" w:rsidRDefault="00AA10EA" w:rsidP="00F8000B"/>
    <w:p w14:paraId="31445FDA" w14:textId="77777777" w:rsidR="00AA10EA" w:rsidRPr="00B33EA9" w:rsidRDefault="00AA10EA" w:rsidP="00F8000B"/>
    <w:p w14:paraId="271DEC63" w14:textId="77777777" w:rsidR="00AA10EA" w:rsidRPr="00B33EA9" w:rsidRDefault="00AA10EA" w:rsidP="00F8000B"/>
    <w:p w14:paraId="420262AA" w14:textId="77777777" w:rsidR="00AA10EA" w:rsidRPr="00B33EA9" w:rsidRDefault="00AA10EA" w:rsidP="00F8000B"/>
    <w:p w14:paraId="708FDF48" w14:textId="77777777" w:rsidR="00AA10EA" w:rsidRPr="00B33EA9" w:rsidRDefault="00AA10EA" w:rsidP="00F8000B"/>
    <w:p w14:paraId="5A75D0F4" w14:textId="77777777" w:rsidR="00AA10EA" w:rsidRPr="00B33EA9" w:rsidRDefault="00AA10EA" w:rsidP="00F8000B"/>
    <w:p w14:paraId="74DE0DF5" w14:textId="77777777" w:rsidR="00AA10EA" w:rsidRPr="00B33EA9" w:rsidRDefault="00AA10EA" w:rsidP="00F8000B"/>
    <w:p w14:paraId="05CA70BC" w14:textId="77777777" w:rsidR="00AA10EA" w:rsidRDefault="00AA10EA" w:rsidP="00F8000B"/>
    <w:p w14:paraId="4253922C" w14:textId="146C3097" w:rsidR="00514B92" w:rsidRDefault="00F1592F" w:rsidP="00F8000B">
      <w:r>
        <w:rPr>
          <w:noProof/>
          <w:lang w:eastAsia="pt-BR"/>
        </w:rPr>
        <mc:AlternateContent>
          <mc:Choice Requires="wps">
            <w:drawing>
              <wp:anchor distT="0" distB="0" distL="114300" distR="114300" simplePos="0" relativeHeight="251688960" behindDoc="0" locked="0" layoutInCell="1" allowOverlap="1" wp14:anchorId="1590DF03" wp14:editId="01745BEF">
                <wp:simplePos x="0" y="0"/>
                <wp:positionH relativeFrom="column">
                  <wp:posOffset>5619750</wp:posOffset>
                </wp:positionH>
                <wp:positionV relativeFrom="paragraph">
                  <wp:posOffset>-666750</wp:posOffset>
                </wp:positionV>
                <wp:extent cx="295275" cy="323850"/>
                <wp:effectExtent l="0" t="0" r="28575" b="19050"/>
                <wp:wrapNone/>
                <wp:docPr id="16" name="Elipse 16"/>
                <wp:cNvGraphicFramePr/>
                <a:graphic xmlns:a="http://schemas.openxmlformats.org/drawingml/2006/main">
                  <a:graphicData uri="http://schemas.microsoft.com/office/word/2010/wordprocessingShape">
                    <wps:wsp>
                      <wps:cNvSpPr/>
                      <wps:spPr>
                        <a:xfrm>
                          <a:off x="0" y="0"/>
                          <a:ext cx="295275" cy="3238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A67C27" id="Elipse 16" o:spid="_x0000_s1026" style="position:absolute;margin-left:442.5pt;margin-top:-52.5pt;width:23.25pt;height:2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" fillcolor="white [3212]" strokecolor="white [3212]" strokeweight="1pt">
                <v:stroke joinstyle="miter"/>
              </v:oval>
            </w:pict>
          </mc:Fallback>
        </mc:AlternateContent>
      </w:r>
    </w:p>
    <w:p w14:paraId="1B1B6C77" w14:textId="77777777" w:rsidR="00514B92" w:rsidRPr="00B33EA9" w:rsidRDefault="00514B92" w:rsidP="00F8000B"/>
    <w:p w14:paraId="061CD9D7" w14:textId="77777777" w:rsidR="00AA10EA" w:rsidRPr="00B33EA9" w:rsidRDefault="00AA10EA" w:rsidP="00F8000B"/>
    <w:p w14:paraId="25404528" w14:textId="792E422C" w:rsidR="00AA10EA" w:rsidRPr="00720A7D" w:rsidRDefault="00AA10EA" w:rsidP="000666EA">
      <w:pPr>
        <w:pStyle w:val="UNIDAVISEOPRIMRIA"/>
        <w:rPr>
          <w:lang w:val="pt-BR"/>
        </w:rPr>
      </w:pPr>
    </w:p>
    <w:p w14:paraId="2DA9D451" w14:textId="628CDE41" w:rsidR="00AA10EA" w:rsidRPr="00720A7D" w:rsidRDefault="00D72657" w:rsidP="00F8000B">
      <w:pPr>
        <w:pStyle w:val="UNIDAVISEOPRIMRIA"/>
        <w:jc w:val="center"/>
        <w:rPr>
          <w:lang w:val="pt-BR"/>
        </w:rPr>
      </w:pPr>
      <w:r>
        <w:rPr>
          <w:lang w:val="pt-BR"/>
        </w:rPr>
        <w:t>Taió</w:t>
      </w:r>
    </w:p>
    <w:p w14:paraId="6742F786" w14:textId="48936065" w:rsidR="00AA10EA" w:rsidRPr="00720A7D" w:rsidRDefault="00AA10EA" w:rsidP="00F8000B">
      <w:pPr>
        <w:pStyle w:val="UNIDAVISEOPRIMRIA"/>
        <w:jc w:val="center"/>
        <w:rPr>
          <w:lang w:val="pt-BR"/>
        </w:rPr>
      </w:pPr>
      <w:r w:rsidRPr="00720A7D">
        <w:rPr>
          <w:lang w:val="pt-BR"/>
        </w:rPr>
        <w:t>20</w:t>
      </w:r>
      <w:r>
        <w:rPr>
          <w:lang w:val="pt-BR"/>
        </w:rPr>
        <w:t>2</w:t>
      </w:r>
      <w:r w:rsidR="00226FD5">
        <w:rPr>
          <w:lang w:val="pt-BR"/>
        </w:rPr>
        <w:t>1</w:t>
      </w:r>
    </w:p>
    <w:p w14:paraId="0F1EB031" w14:textId="77777777" w:rsidR="00AA10EA" w:rsidRPr="00720A7D" w:rsidRDefault="00B8782F" w:rsidP="00F8000B">
      <w:pPr>
        <w:pStyle w:val="UNIDAVISEOPRIMRIA"/>
        <w:jc w:val="center"/>
        <w:rPr>
          <w:lang w:val="pt-BR"/>
        </w:rPr>
      </w:pPr>
      <w:r w:rsidRPr="00B8782F">
        <w:rPr>
          <w:noProof/>
          <w:lang w:val="pt-BR" w:eastAsia="pt-BR"/>
        </w:rPr>
        <w:lastRenderedPageBreak/>
        <mc:AlternateContent>
          <mc:Choice Requires="wps">
            <w:drawing>
              <wp:anchor distT="45720" distB="45720" distL="114300" distR="114300" simplePos="0" relativeHeight="251661312" behindDoc="0" locked="0" layoutInCell="1" allowOverlap="1" wp14:anchorId="1BD18951" wp14:editId="6812CB02">
                <wp:simplePos x="0" y="0"/>
                <wp:positionH relativeFrom="margin">
                  <wp:posOffset>5355171</wp:posOffset>
                </wp:positionH>
                <wp:positionV relativeFrom="paragraph">
                  <wp:posOffset>-662796</wp:posOffset>
                </wp:positionV>
                <wp:extent cx="327803" cy="310551"/>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03" cy="310551"/>
                        </a:xfrm>
                        <a:prstGeom prst="rect">
                          <a:avLst/>
                        </a:prstGeom>
                        <a:solidFill>
                          <a:srgbClr val="FFFFFF"/>
                        </a:solidFill>
                        <a:ln w="9525">
                          <a:noFill/>
                          <a:miter lim="800000"/>
                          <a:headEnd/>
                          <a:tailEnd/>
                        </a:ln>
                      </wps:spPr>
                      <wps:txbx>
                        <w:txbxContent>
                          <w:p w14:paraId="007398BC" w14:textId="77777777" w:rsidR="00DF47F4" w:rsidRDefault="00DF47F4" w:rsidP="00B87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18951" id="_x0000_s1027" type="#_x0000_t202" style="position:absolute;left:0;text-align:left;margin-left:421.65pt;margin-top:-52.2pt;width:25.8pt;height:24.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" stroked="f">
                <v:textbox>
                  <w:txbxContent>
                    <w:p w14:paraId="007398BC" w14:textId="77777777" w:rsidR="00DF47F4" w:rsidRDefault="00DF47F4" w:rsidP="00B8782F"/>
                  </w:txbxContent>
                </v:textbox>
                <w10:wrap anchorx="margin"/>
              </v:shape>
            </w:pict>
          </mc:Fallback>
        </mc:AlternateContent>
      </w:r>
      <w:r w:rsidR="00AA10EA" w:rsidRPr="00720A7D">
        <w:rPr>
          <w:lang w:val="pt-BR"/>
        </w:rPr>
        <w:t>CENTRO UNIVERSITÁRIO PARA O DESENVOLVIMENTO DO ALTO VALE DO ITAJAÍ - UNIDAVI</w:t>
      </w:r>
    </w:p>
    <w:p w14:paraId="2759F97B" w14:textId="77777777" w:rsidR="00AA10EA" w:rsidRPr="00720A7D" w:rsidRDefault="00AA10EA" w:rsidP="00F8000B">
      <w:pPr>
        <w:pStyle w:val="UNIDAVISEOPRIMRIA"/>
        <w:jc w:val="center"/>
        <w:rPr>
          <w:lang w:val="pt-BR"/>
        </w:rPr>
      </w:pPr>
    </w:p>
    <w:p w14:paraId="41C4A792" w14:textId="7289D8D0" w:rsidR="00AA10EA" w:rsidRPr="00720A7D" w:rsidRDefault="005267C2" w:rsidP="00F8000B">
      <w:pPr>
        <w:pStyle w:val="UNIDAVISEOPRIMRIA"/>
        <w:jc w:val="center"/>
        <w:rPr>
          <w:lang w:val="pt-BR"/>
        </w:rPr>
      </w:pPr>
      <w:r>
        <w:rPr>
          <w:lang w:val="pt-BR"/>
        </w:rPr>
        <w:t>jaqueline aparecida dos santos</w:t>
      </w:r>
    </w:p>
    <w:p w14:paraId="305D553F" w14:textId="77777777" w:rsidR="00AA10EA" w:rsidRPr="00720A7D" w:rsidRDefault="00AA10EA" w:rsidP="00F8000B">
      <w:pPr>
        <w:pStyle w:val="UNIDAVISEOPRIMRIA"/>
        <w:jc w:val="center"/>
        <w:rPr>
          <w:lang w:val="pt-BR"/>
        </w:rPr>
      </w:pPr>
    </w:p>
    <w:p w14:paraId="079C1720" w14:textId="77777777" w:rsidR="00AA10EA" w:rsidRPr="00B33EA9" w:rsidRDefault="00AA10EA" w:rsidP="00F8000B"/>
    <w:p w14:paraId="0A2FD3CF" w14:textId="77777777" w:rsidR="00AA10EA" w:rsidRPr="00B33EA9" w:rsidRDefault="00AA10EA" w:rsidP="00F8000B"/>
    <w:p w14:paraId="67DD73FA" w14:textId="77777777" w:rsidR="00AA10EA" w:rsidRPr="00B33EA9" w:rsidRDefault="00AA10EA" w:rsidP="00F8000B"/>
    <w:p w14:paraId="35B73E79" w14:textId="77777777" w:rsidR="00AA10EA" w:rsidRPr="00B33EA9" w:rsidRDefault="00AA10EA" w:rsidP="00F8000B"/>
    <w:p w14:paraId="51E47D13" w14:textId="77777777" w:rsidR="00AA10EA" w:rsidRPr="00B33EA9" w:rsidRDefault="00AA10EA" w:rsidP="00F8000B"/>
    <w:p w14:paraId="459F28EE" w14:textId="77777777" w:rsidR="00AA10EA" w:rsidRPr="00B33EA9" w:rsidRDefault="00AA10EA" w:rsidP="00F8000B"/>
    <w:p w14:paraId="05F202F0" w14:textId="77777777" w:rsidR="00AA10EA" w:rsidRPr="00B33EA9" w:rsidRDefault="00AA10EA" w:rsidP="00F8000B"/>
    <w:p w14:paraId="306767D0" w14:textId="77777777" w:rsidR="00AA10EA" w:rsidRPr="00B33EA9" w:rsidRDefault="00AA10EA" w:rsidP="00F8000B"/>
    <w:p w14:paraId="0A065A00" w14:textId="77777777" w:rsidR="00AA10EA" w:rsidRDefault="00AA10EA" w:rsidP="00F8000B"/>
    <w:p w14:paraId="30B777C2" w14:textId="77777777" w:rsidR="00AA10EA" w:rsidRDefault="00AA10EA" w:rsidP="00F8000B"/>
    <w:p w14:paraId="097A2B71" w14:textId="77777777" w:rsidR="00AA10EA" w:rsidRDefault="00AA10EA" w:rsidP="00F8000B"/>
    <w:p w14:paraId="2EE138FC" w14:textId="77777777" w:rsidR="00AA10EA" w:rsidRDefault="00AA10EA" w:rsidP="00F8000B"/>
    <w:p w14:paraId="1153F876" w14:textId="77777777" w:rsidR="00AA10EA" w:rsidRDefault="00AA10EA" w:rsidP="00F8000B"/>
    <w:p w14:paraId="5D6F8355" w14:textId="77777777" w:rsidR="00514B92" w:rsidRDefault="00514B92" w:rsidP="00F8000B"/>
    <w:p w14:paraId="1A0E4420" w14:textId="77777777" w:rsidR="00514B92" w:rsidRDefault="00514B92" w:rsidP="00F8000B"/>
    <w:p w14:paraId="305836D9" w14:textId="77777777" w:rsidR="00AA10EA" w:rsidRDefault="00AA10EA" w:rsidP="00F8000B"/>
    <w:p w14:paraId="433CF7A7" w14:textId="77777777" w:rsidR="00AA10EA" w:rsidRDefault="00AA10EA" w:rsidP="00F8000B"/>
    <w:p w14:paraId="14F58CD3" w14:textId="77777777" w:rsidR="00AA10EA" w:rsidRDefault="00AA10EA" w:rsidP="00F8000B"/>
    <w:p w14:paraId="4DE88ACF" w14:textId="4AF22878" w:rsidR="009E3F1D" w:rsidRPr="00720A7D" w:rsidRDefault="00067E29" w:rsidP="009E3F1D">
      <w:pPr>
        <w:pStyle w:val="UNIDAVISEOPRIMRIA"/>
        <w:jc w:val="center"/>
        <w:rPr>
          <w:lang w:val="pt-BR"/>
        </w:rPr>
      </w:pPr>
      <w:r>
        <w:rPr>
          <w:lang w:val="pt-BR"/>
        </w:rPr>
        <w:t>licitações</w:t>
      </w:r>
      <w:r w:rsidR="009E3F1D">
        <w:rPr>
          <w:lang w:val="pt-BR"/>
        </w:rPr>
        <w:t xml:space="preserve"> no município de taió</w:t>
      </w:r>
    </w:p>
    <w:p w14:paraId="408F8D60" w14:textId="77777777" w:rsidR="00AA10EA" w:rsidRPr="00B33EA9" w:rsidRDefault="00AA10EA" w:rsidP="00F8000B"/>
    <w:p w14:paraId="5E2F6D65" w14:textId="77777777" w:rsidR="00AA10EA" w:rsidRPr="00B33EA9" w:rsidRDefault="00AA10EA" w:rsidP="00F8000B"/>
    <w:p w14:paraId="5C84AD82" w14:textId="77777777" w:rsidR="00AA10EA" w:rsidRPr="00B33EA9" w:rsidRDefault="00AA10EA" w:rsidP="00F8000B">
      <w:pPr>
        <w:pStyle w:val="Capa"/>
      </w:pPr>
      <w:r w:rsidRPr="00B33EA9">
        <w:t>Trabalho de Conclusão de Curso a ser apresentado ao curso de Ciências Contábeis, da Área das Ciências Socialmente Aplicáveis, do Centro Universitário para o Desenvolvimento do Alto Vale do Itajaí, como condição parcial para a obtenção do grau de Bacharel em Ciências Contábeis.</w:t>
      </w:r>
    </w:p>
    <w:p w14:paraId="69012AB1" w14:textId="77777777" w:rsidR="00AA10EA" w:rsidRPr="00B33EA9" w:rsidRDefault="00AA10EA" w:rsidP="00F8000B">
      <w:pPr>
        <w:pStyle w:val="Capa"/>
      </w:pPr>
    </w:p>
    <w:p w14:paraId="6CCFB9AA" w14:textId="212F5074" w:rsidR="00AA10EA" w:rsidRPr="00B33EA9" w:rsidRDefault="00AA10EA" w:rsidP="00F8000B">
      <w:pPr>
        <w:pStyle w:val="Capa"/>
      </w:pPr>
      <w:r w:rsidRPr="00B33EA9">
        <w:t>Prof. Orienta</w:t>
      </w:r>
      <w:r w:rsidR="004E5221">
        <w:t>dora: Lorena Schmidt Marquez</w:t>
      </w:r>
    </w:p>
    <w:p w14:paraId="7812A823" w14:textId="77777777" w:rsidR="00AA10EA" w:rsidRPr="00B33EA9" w:rsidRDefault="00AA10EA" w:rsidP="00F8000B"/>
    <w:p w14:paraId="7EC950CE" w14:textId="77777777" w:rsidR="00AA10EA" w:rsidRPr="00B33EA9" w:rsidRDefault="00AA10EA" w:rsidP="00F8000B"/>
    <w:p w14:paraId="0C2DE60D" w14:textId="77777777" w:rsidR="00AA10EA" w:rsidRPr="00B33EA9" w:rsidRDefault="00AA10EA" w:rsidP="00F8000B"/>
    <w:p w14:paraId="57DF33E6" w14:textId="77777777" w:rsidR="00AA10EA" w:rsidRPr="00B33EA9" w:rsidRDefault="00AA10EA" w:rsidP="00F8000B"/>
    <w:p w14:paraId="28D6DAB8" w14:textId="77777777" w:rsidR="00AA10EA" w:rsidRDefault="00AA10EA" w:rsidP="00F8000B"/>
    <w:p w14:paraId="5591885A" w14:textId="77777777" w:rsidR="00514B92" w:rsidRDefault="00514B92" w:rsidP="00F8000B"/>
    <w:p w14:paraId="4B28D7C9" w14:textId="77777777" w:rsidR="00514B92" w:rsidRDefault="00514B92" w:rsidP="00F8000B"/>
    <w:p w14:paraId="78EB13DB" w14:textId="562A6A5D" w:rsidR="00514B92" w:rsidRDefault="00F1592F" w:rsidP="00F8000B">
      <w:r>
        <w:rPr>
          <w:noProof/>
          <w:lang w:eastAsia="pt-BR"/>
        </w:rPr>
        <mc:AlternateContent>
          <mc:Choice Requires="wps">
            <w:drawing>
              <wp:anchor distT="0" distB="0" distL="114300" distR="114300" simplePos="0" relativeHeight="251686912" behindDoc="0" locked="0" layoutInCell="1" allowOverlap="1" wp14:anchorId="343F51C5" wp14:editId="5628DEE7">
                <wp:simplePos x="0" y="0"/>
                <wp:positionH relativeFrom="column">
                  <wp:posOffset>5543550</wp:posOffset>
                </wp:positionH>
                <wp:positionV relativeFrom="paragraph">
                  <wp:posOffset>-666750</wp:posOffset>
                </wp:positionV>
                <wp:extent cx="295275" cy="323850"/>
                <wp:effectExtent l="0" t="0" r="28575" b="19050"/>
                <wp:wrapNone/>
                <wp:docPr id="15" name="Elipse 15"/>
                <wp:cNvGraphicFramePr/>
                <a:graphic xmlns:a="http://schemas.openxmlformats.org/drawingml/2006/main">
                  <a:graphicData uri="http://schemas.microsoft.com/office/word/2010/wordprocessingShape">
                    <wps:wsp>
                      <wps:cNvSpPr/>
                      <wps:spPr>
                        <a:xfrm>
                          <a:off x="0" y="0"/>
                          <a:ext cx="295275" cy="3238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3BF7D0" id="Elipse 15" o:spid="_x0000_s1026" style="position:absolute;margin-left:436.5pt;margin-top:-52.5pt;width:23.2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" fillcolor="white [3212]" strokecolor="white [3212]" strokeweight="1pt">
                <v:stroke joinstyle="miter"/>
              </v:oval>
            </w:pict>
          </mc:Fallback>
        </mc:AlternateContent>
      </w:r>
    </w:p>
    <w:p w14:paraId="6D65B097" w14:textId="77777777" w:rsidR="00514B92" w:rsidRDefault="00514B92" w:rsidP="00F8000B"/>
    <w:p w14:paraId="713490C1" w14:textId="77777777" w:rsidR="00AA10EA" w:rsidRDefault="00AA10EA" w:rsidP="00F8000B"/>
    <w:p w14:paraId="08A23EB8" w14:textId="77777777" w:rsidR="00AA10EA" w:rsidRDefault="00AA10EA" w:rsidP="00F8000B"/>
    <w:p w14:paraId="534CBD09" w14:textId="77777777" w:rsidR="00AA10EA" w:rsidRDefault="00AA10EA" w:rsidP="00F8000B"/>
    <w:p w14:paraId="41FCD1D8" w14:textId="1B4F8ED8" w:rsidR="00AA10EA" w:rsidRPr="00720A7D" w:rsidRDefault="00D72657" w:rsidP="00F8000B">
      <w:pPr>
        <w:pStyle w:val="UNIDAVISEOPRIMRIA"/>
        <w:jc w:val="center"/>
        <w:rPr>
          <w:lang w:val="pt-BR"/>
        </w:rPr>
      </w:pPr>
      <w:r>
        <w:rPr>
          <w:lang w:val="pt-BR"/>
        </w:rPr>
        <w:t>Taió</w:t>
      </w:r>
    </w:p>
    <w:p w14:paraId="1B0B2190" w14:textId="066C7205" w:rsidR="00AA10EA" w:rsidRPr="00720A7D" w:rsidRDefault="00AA10EA" w:rsidP="00F8000B">
      <w:pPr>
        <w:pStyle w:val="UNIDAVISEOPRIMRIA"/>
        <w:jc w:val="center"/>
        <w:rPr>
          <w:lang w:val="pt-BR"/>
        </w:rPr>
      </w:pPr>
      <w:r w:rsidRPr="00720A7D">
        <w:rPr>
          <w:lang w:val="pt-BR"/>
        </w:rPr>
        <w:t>20</w:t>
      </w:r>
      <w:r>
        <w:rPr>
          <w:lang w:val="pt-BR"/>
        </w:rPr>
        <w:t>2</w:t>
      </w:r>
      <w:r w:rsidR="00226FD5">
        <w:rPr>
          <w:lang w:val="pt-BR"/>
        </w:rPr>
        <w:t>1</w:t>
      </w:r>
    </w:p>
    <w:p w14:paraId="15135FD7" w14:textId="77777777" w:rsidR="00AA10EA" w:rsidRPr="00720A7D" w:rsidRDefault="00B8782F" w:rsidP="00F8000B">
      <w:pPr>
        <w:pStyle w:val="UNIDAVISEOPRIMRIA"/>
        <w:jc w:val="center"/>
        <w:rPr>
          <w:lang w:val="pt-BR"/>
        </w:rPr>
      </w:pPr>
      <w:r w:rsidRPr="00B8782F">
        <w:rPr>
          <w:noProof/>
          <w:lang w:val="pt-BR" w:eastAsia="pt-BR"/>
        </w:rPr>
        <w:lastRenderedPageBreak/>
        <mc:AlternateContent>
          <mc:Choice Requires="wps">
            <w:drawing>
              <wp:anchor distT="45720" distB="45720" distL="114300" distR="114300" simplePos="0" relativeHeight="251663360" behindDoc="0" locked="0" layoutInCell="1" allowOverlap="1" wp14:anchorId="650CEE4B" wp14:editId="3C1E9E78">
                <wp:simplePos x="0" y="0"/>
                <wp:positionH relativeFrom="margin">
                  <wp:align>right</wp:align>
                </wp:positionH>
                <wp:positionV relativeFrom="paragraph">
                  <wp:posOffset>-614045</wp:posOffset>
                </wp:positionV>
                <wp:extent cx="219075" cy="200025"/>
                <wp:effectExtent l="0" t="0" r="9525" b="952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noFill/>
                          <a:miter lim="800000"/>
                          <a:headEnd/>
                          <a:tailEnd/>
                        </a:ln>
                      </wps:spPr>
                      <wps:txbx>
                        <w:txbxContent>
                          <w:p w14:paraId="2154B86B" w14:textId="77777777" w:rsidR="00DF47F4" w:rsidRDefault="00DF47F4" w:rsidP="00B87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CEE4B" id="_x0000_s1028" type="#_x0000_t202" style="position:absolute;left:0;text-align:left;margin-left:-33.95pt;margin-top:-48.35pt;width:17.25pt;height:15.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" stroked="f">
                <v:textbox>
                  <w:txbxContent>
                    <w:p w14:paraId="2154B86B" w14:textId="77777777" w:rsidR="00DF47F4" w:rsidRDefault="00DF47F4" w:rsidP="00B8782F"/>
                  </w:txbxContent>
                </v:textbox>
                <w10:wrap anchorx="margin"/>
              </v:shape>
            </w:pict>
          </mc:Fallback>
        </mc:AlternateContent>
      </w:r>
      <w:r w:rsidR="00AA10EA" w:rsidRPr="00720A7D">
        <w:rPr>
          <w:lang w:val="pt-BR"/>
        </w:rPr>
        <w:t>CENTRO UNIVERSITÁRIO PARA O DESENVOLVIMENTO DO ALTO VALE DO ITAJAÍ - UNIDAVI</w:t>
      </w:r>
    </w:p>
    <w:p w14:paraId="23507C5F" w14:textId="77777777" w:rsidR="00AA10EA" w:rsidRPr="00720A7D" w:rsidRDefault="00AA10EA" w:rsidP="00F8000B">
      <w:pPr>
        <w:pStyle w:val="UNIDAVISEOPRIMRIA"/>
        <w:jc w:val="center"/>
        <w:rPr>
          <w:lang w:val="pt-BR"/>
        </w:rPr>
      </w:pPr>
    </w:p>
    <w:p w14:paraId="61C00401" w14:textId="2D5AB891" w:rsidR="00AA10EA" w:rsidRPr="00720A7D" w:rsidRDefault="005267C2" w:rsidP="00F8000B">
      <w:pPr>
        <w:pStyle w:val="UNIDAVISEOPRIMRIA"/>
        <w:jc w:val="center"/>
        <w:rPr>
          <w:lang w:val="pt-BR"/>
        </w:rPr>
      </w:pPr>
      <w:r>
        <w:rPr>
          <w:lang w:val="pt-BR"/>
        </w:rPr>
        <w:t>jaqueline aparecida dos santos</w:t>
      </w:r>
    </w:p>
    <w:p w14:paraId="1E667CBF" w14:textId="77777777" w:rsidR="00AA10EA" w:rsidRPr="00B33EA9" w:rsidRDefault="00AA10EA" w:rsidP="00F8000B"/>
    <w:p w14:paraId="5CCC71D1" w14:textId="77777777" w:rsidR="00AA10EA" w:rsidRPr="00B33EA9" w:rsidRDefault="00AA10EA" w:rsidP="00F8000B"/>
    <w:p w14:paraId="2A37553D" w14:textId="77777777" w:rsidR="00AA10EA" w:rsidRPr="00B33EA9" w:rsidRDefault="00AA10EA" w:rsidP="00F8000B"/>
    <w:p w14:paraId="27CDD7BC" w14:textId="77777777" w:rsidR="00AA10EA" w:rsidRPr="00B33EA9" w:rsidRDefault="00AA10EA" w:rsidP="00F8000B"/>
    <w:p w14:paraId="1EDA0138" w14:textId="77777777" w:rsidR="00AA10EA" w:rsidRPr="00B33EA9" w:rsidRDefault="00AA10EA" w:rsidP="00F8000B"/>
    <w:p w14:paraId="2C6D847B" w14:textId="77777777" w:rsidR="00AA10EA" w:rsidRPr="00720A7D" w:rsidRDefault="00AA10EA" w:rsidP="00F8000B">
      <w:pPr>
        <w:pStyle w:val="UNIDAVISEOPRIMRIA"/>
        <w:jc w:val="center"/>
        <w:rPr>
          <w:lang w:val="pt-BR"/>
        </w:rPr>
      </w:pPr>
    </w:p>
    <w:p w14:paraId="008032F0" w14:textId="77777777" w:rsidR="00AA10EA" w:rsidRPr="00720A7D" w:rsidRDefault="00AA10EA" w:rsidP="00F8000B">
      <w:pPr>
        <w:pStyle w:val="UNIDAVISEOPRIMRIA"/>
        <w:jc w:val="center"/>
        <w:rPr>
          <w:lang w:val="pt-BR"/>
        </w:rPr>
      </w:pPr>
    </w:p>
    <w:p w14:paraId="512EC2E8" w14:textId="77777777" w:rsidR="00AA10EA" w:rsidRPr="00720A7D" w:rsidRDefault="00AA10EA" w:rsidP="00F8000B">
      <w:pPr>
        <w:pStyle w:val="UNIDAVISEOPRIMRIA"/>
        <w:jc w:val="center"/>
        <w:rPr>
          <w:lang w:val="pt-BR"/>
        </w:rPr>
      </w:pPr>
    </w:p>
    <w:p w14:paraId="09F80E16" w14:textId="77777777" w:rsidR="00AA10EA" w:rsidRPr="00720A7D" w:rsidRDefault="00AA10EA" w:rsidP="00F8000B">
      <w:pPr>
        <w:pStyle w:val="UNIDAVISEOPRIMRIA"/>
        <w:jc w:val="center"/>
        <w:rPr>
          <w:lang w:val="pt-BR"/>
        </w:rPr>
      </w:pPr>
    </w:p>
    <w:p w14:paraId="0C410BBB" w14:textId="77777777" w:rsidR="00AA10EA" w:rsidRPr="00720A7D" w:rsidRDefault="00AA10EA" w:rsidP="00F8000B">
      <w:pPr>
        <w:pStyle w:val="UNIDAVISEOPRIMRIA"/>
        <w:jc w:val="center"/>
        <w:rPr>
          <w:lang w:val="pt-BR"/>
        </w:rPr>
      </w:pPr>
    </w:p>
    <w:p w14:paraId="366BBF14" w14:textId="77777777" w:rsidR="00AA10EA" w:rsidRPr="00720A7D" w:rsidRDefault="00AA10EA" w:rsidP="00F8000B">
      <w:pPr>
        <w:pStyle w:val="UNIDAVISEOPRIMRIA"/>
        <w:jc w:val="center"/>
        <w:rPr>
          <w:lang w:val="pt-BR"/>
        </w:rPr>
      </w:pPr>
    </w:p>
    <w:p w14:paraId="5E8E3A4E" w14:textId="77777777" w:rsidR="00AA10EA" w:rsidRPr="00720A7D" w:rsidRDefault="00AA10EA" w:rsidP="00F8000B">
      <w:pPr>
        <w:pStyle w:val="UNIDAVISEOPRIMRIA"/>
        <w:jc w:val="center"/>
        <w:rPr>
          <w:lang w:val="pt-BR"/>
        </w:rPr>
      </w:pPr>
    </w:p>
    <w:p w14:paraId="115FAC96" w14:textId="77777777" w:rsidR="00AA10EA" w:rsidRPr="00720A7D" w:rsidRDefault="00AA10EA" w:rsidP="00F8000B">
      <w:pPr>
        <w:pStyle w:val="UNIDAVISEOPRIMRIA"/>
        <w:jc w:val="center"/>
        <w:rPr>
          <w:lang w:val="pt-BR"/>
        </w:rPr>
      </w:pPr>
    </w:p>
    <w:p w14:paraId="1E6CBFB3" w14:textId="77777777" w:rsidR="00AA10EA" w:rsidRPr="00720A7D" w:rsidRDefault="00AA10EA" w:rsidP="00F8000B">
      <w:pPr>
        <w:pStyle w:val="UNIDAVISEOPRIMRIA"/>
        <w:jc w:val="center"/>
        <w:rPr>
          <w:lang w:val="pt-BR"/>
        </w:rPr>
      </w:pPr>
    </w:p>
    <w:p w14:paraId="4D02FB43" w14:textId="77777777" w:rsidR="00AA10EA" w:rsidRPr="00720A7D" w:rsidRDefault="00AA10EA" w:rsidP="00F8000B">
      <w:pPr>
        <w:pStyle w:val="UNIDAVISEOPRIMRIA"/>
        <w:jc w:val="center"/>
        <w:rPr>
          <w:lang w:val="pt-BR"/>
        </w:rPr>
      </w:pPr>
    </w:p>
    <w:p w14:paraId="7FACFABA" w14:textId="63318C31" w:rsidR="009E3F1D" w:rsidRPr="00720A7D" w:rsidRDefault="00067E29" w:rsidP="009E3F1D">
      <w:pPr>
        <w:pStyle w:val="UNIDAVISEOPRIMRIA"/>
        <w:jc w:val="center"/>
        <w:rPr>
          <w:lang w:val="pt-BR"/>
        </w:rPr>
      </w:pPr>
      <w:r>
        <w:rPr>
          <w:lang w:val="pt-BR"/>
        </w:rPr>
        <w:t>licitações</w:t>
      </w:r>
      <w:r w:rsidR="009E3F1D">
        <w:rPr>
          <w:lang w:val="pt-BR"/>
        </w:rPr>
        <w:t xml:space="preserve"> no município de taió</w:t>
      </w:r>
    </w:p>
    <w:p w14:paraId="46F1283F" w14:textId="77777777" w:rsidR="00AA10EA" w:rsidRPr="00B33EA9" w:rsidRDefault="00AA10EA" w:rsidP="00F8000B"/>
    <w:p w14:paraId="2CA1D32D" w14:textId="77777777" w:rsidR="00AA10EA" w:rsidRPr="00B33EA9" w:rsidRDefault="00AA10EA" w:rsidP="00F8000B">
      <w:pPr>
        <w:pStyle w:val="Capa"/>
      </w:pPr>
      <w:r w:rsidRPr="00B33EA9">
        <w:t xml:space="preserve">Trabalho de Conclusão de Curso a ser apresentado ao curso de Ciências Contábeis, da Área das Ciências Socialmente Aplicáveis, do Centro Universitário para o Desenvolvimento do Alto Vale do Itajaí- UNIDAVI, a ser apreciado pela Banca Examinadora, formada por: </w:t>
      </w:r>
    </w:p>
    <w:p w14:paraId="572F3A77" w14:textId="77777777" w:rsidR="00AA10EA" w:rsidRPr="00B33EA9" w:rsidRDefault="00AA10EA" w:rsidP="00F8000B"/>
    <w:p w14:paraId="49E2CE42" w14:textId="77777777" w:rsidR="00AA10EA" w:rsidRPr="00B33EA9" w:rsidRDefault="00AA10EA" w:rsidP="00F8000B"/>
    <w:p w14:paraId="1D0F8A74" w14:textId="77777777" w:rsidR="00AA10EA" w:rsidRPr="00B33EA9" w:rsidRDefault="00AA10EA" w:rsidP="00F8000B"/>
    <w:p w14:paraId="783F3AC3" w14:textId="77777777" w:rsidR="00AA10EA" w:rsidRPr="00B33EA9" w:rsidRDefault="00AA10EA" w:rsidP="00F8000B"/>
    <w:p w14:paraId="2CBE34A4" w14:textId="77777777" w:rsidR="00AA10EA" w:rsidRPr="00B33EA9" w:rsidRDefault="00AA10EA" w:rsidP="00F8000B"/>
    <w:p w14:paraId="17F63D57" w14:textId="77777777" w:rsidR="00AA10EA" w:rsidRPr="00B33EA9" w:rsidRDefault="00AA10EA" w:rsidP="00F8000B"/>
    <w:p w14:paraId="5C9BEA33" w14:textId="77777777" w:rsidR="00AA10EA" w:rsidRPr="00B33EA9" w:rsidRDefault="00AA10EA" w:rsidP="00F8000B">
      <w:pPr>
        <w:pStyle w:val="Capa1"/>
      </w:pPr>
      <w:r w:rsidRPr="00B33EA9">
        <w:t>____________________________________________</w:t>
      </w:r>
    </w:p>
    <w:p w14:paraId="64749E30" w14:textId="4E6082CC" w:rsidR="00AA10EA" w:rsidRPr="00B33EA9" w:rsidRDefault="00AA10EA" w:rsidP="00F8000B">
      <w:pPr>
        <w:pStyle w:val="Capa1"/>
      </w:pPr>
      <w:r w:rsidRPr="00B33EA9">
        <w:t>Professor</w:t>
      </w:r>
      <w:r w:rsidR="004E5221">
        <w:t>a</w:t>
      </w:r>
      <w:r w:rsidRPr="00B33EA9">
        <w:t xml:space="preserve"> Orientador</w:t>
      </w:r>
      <w:r w:rsidR="004E5221">
        <w:t>a</w:t>
      </w:r>
      <w:r w:rsidRPr="00B33EA9">
        <w:t xml:space="preserve">: </w:t>
      </w:r>
      <w:r w:rsidR="004E5221">
        <w:t>Lorena Schmidt Marquez</w:t>
      </w:r>
    </w:p>
    <w:p w14:paraId="68E57459" w14:textId="77777777" w:rsidR="00AA10EA" w:rsidRPr="00B33EA9" w:rsidRDefault="00AA10EA" w:rsidP="00F8000B">
      <w:pPr>
        <w:pStyle w:val="Capa1"/>
      </w:pPr>
    </w:p>
    <w:p w14:paraId="45AD5D2A" w14:textId="77777777" w:rsidR="00AA10EA" w:rsidRPr="00B33EA9" w:rsidRDefault="00AA10EA" w:rsidP="00F8000B">
      <w:pPr>
        <w:pStyle w:val="Capa1"/>
      </w:pPr>
    </w:p>
    <w:p w14:paraId="26DBDE24" w14:textId="77777777" w:rsidR="00AA10EA" w:rsidRPr="00B33EA9" w:rsidRDefault="00AA10EA" w:rsidP="00F8000B">
      <w:pPr>
        <w:pStyle w:val="Capa1"/>
      </w:pPr>
      <w:r w:rsidRPr="00B33EA9">
        <w:t>Banca Examinadora:</w:t>
      </w:r>
    </w:p>
    <w:p w14:paraId="5BE5C24D" w14:textId="77777777" w:rsidR="00AA10EA" w:rsidRPr="00B33EA9" w:rsidRDefault="00AA10EA" w:rsidP="00F8000B">
      <w:pPr>
        <w:pStyle w:val="Capa1"/>
      </w:pPr>
    </w:p>
    <w:p w14:paraId="185BD8CB" w14:textId="77777777" w:rsidR="00AA10EA" w:rsidRPr="00B33EA9" w:rsidRDefault="00AA10EA" w:rsidP="00F8000B">
      <w:pPr>
        <w:pStyle w:val="Capa1"/>
      </w:pPr>
    </w:p>
    <w:p w14:paraId="1698AEE7" w14:textId="77777777" w:rsidR="00AA10EA" w:rsidRPr="00B33EA9" w:rsidRDefault="00AA10EA" w:rsidP="00F8000B">
      <w:pPr>
        <w:pStyle w:val="Capa1"/>
      </w:pPr>
      <w:r w:rsidRPr="00B33EA9">
        <w:t>____________________________________________</w:t>
      </w:r>
    </w:p>
    <w:p w14:paraId="7A7A8E82" w14:textId="2BBE7C78" w:rsidR="00AA10EA" w:rsidRPr="004D09A6" w:rsidRDefault="004D09A6" w:rsidP="00F8000B">
      <w:pPr>
        <w:pStyle w:val="Capa1"/>
      </w:pPr>
      <w:r>
        <w:t>Professor</w:t>
      </w:r>
      <w:r w:rsidR="009013F1">
        <w:t xml:space="preserve"> M.e</w:t>
      </w:r>
      <w:r>
        <w:t>:</w:t>
      </w:r>
      <w:r w:rsidRPr="004D09A6">
        <w:rPr>
          <w:color w:val="333333"/>
          <w:shd w:val="clear" w:color="auto" w:fill="FFFFFF"/>
        </w:rPr>
        <w:t xml:space="preserve"> </w:t>
      </w:r>
      <w:r w:rsidRPr="004D09A6">
        <w:rPr>
          <w:shd w:val="clear" w:color="auto" w:fill="FFFFFF"/>
        </w:rPr>
        <w:t>Cesar Machado</w:t>
      </w:r>
    </w:p>
    <w:p w14:paraId="4ABA1314" w14:textId="77777777" w:rsidR="00AA10EA" w:rsidRPr="00B33EA9" w:rsidRDefault="00AA10EA" w:rsidP="00F8000B">
      <w:pPr>
        <w:pStyle w:val="Capa1"/>
      </w:pPr>
    </w:p>
    <w:p w14:paraId="5F7AB7DC" w14:textId="0C6639E3" w:rsidR="00AA10EA" w:rsidRPr="00B33EA9" w:rsidRDefault="00F1592F" w:rsidP="00F8000B">
      <w:pPr>
        <w:pStyle w:val="Capa1"/>
      </w:pPr>
      <w:r>
        <w:rPr>
          <w:noProof/>
          <w:lang w:eastAsia="pt-BR"/>
        </w:rPr>
        <mc:AlternateContent>
          <mc:Choice Requires="wps">
            <w:drawing>
              <wp:anchor distT="0" distB="0" distL="114300" distR="114300" simplePos="0" relativeHeight="251684864" behindDoc="0" locked="0" layoutInCell="1" allowOverlap="1" wp14:anchorId="48C77542" wp14:editId="5F00DEA2">
                <wp:simplePos x="0" y="0"/>
                <wp:positionH relativeFrom="column">
                  <wp:posOffset>5581650</wp:posOffset>
                </wp:positionH>
                <wp:positionV relativeFrom="paragraph">
                  <wp:posOffset>-609600</wp:posOffset>
                </wp:positionV>
                <wp:extent cx="295275" cy="323850"/>
                <wp:effectExtent l="0" t="0" r="28575" b="19050"/>
                <wp:wrapNone/>
                <wp:docPr id="14" name="Elipse 14"/>
                <wp:cNvGraphicFramePr/>
                <a:graphic xmlns:a="http://schemas.openxmlformats.org/drawingml/2006/main">
                  <a:graphicData uri="http://schemas.microsoft.com/office/word/2010/wordprocessingShape">
                    <wps:wsp>
                      <wps:cNvSpPr/>
                      <wps:spPr>
                        <a:xfrm>
                          <a:off x="0" y="0"/>
                          <a:ext cx="295275" cy="3238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EFD3DE" id="Elipse 14" o:spid="_x0000_s1026" style="position:absolute;margin-left:439.5pt;margin-top:-48pt;width:23.25pt;height:2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" fillcolor="white [3212]" strokecolor="white [3212]" strokeweight="1pt">
                <v:stroke joinstyle="miter"/>
              </v:oval>
            </w:pict>
          </mc:Fallback>
        </mc:AlternateContent>
      </w:r>
    </w:p>
    <w:p w14:paraId="01EC6BB6" w14:textId="77777777" w:rsidR="00AA10EA" w:rsidRPr="00B33EA9" w:rsidRDefault="00AA10EA" w:rsidP="00F8000B">
      <w:pPr>
        <w:pStyle w:val="Capa1"/>
      </w:pPr>
      <w:r w:rsidRPr="00B33EA9">
        <w:t>____________________________________________</w:t>
      </w:r>
    </w:p>
    <w:p w14:paraId="65ECD119" w14:textId="089DF0A1" w:rsidR="00AA10EA" w:rsidRPr="004D09A6" w:rsidRDefault="004D09A6" w:rsidP="00F8000B">
      <w:pPr>
        <w:pStyle w:val="Capa1"/>
      </w:pPr>
      <w:r>
        <w:t>Professora</w:t>
      </w:r>
      <w:r w:rsidR="009013F1">
        <w:t xml:space="preserve"> </w:t>
      </w:r>
      <w:r w:rsidR="009013F1" w:rsidRPr="009013F1">
        <w:t>Dra</w:t>
      </w:r>
      <w:bookmarkStart w:id="0" w:name="_GoBack"/>
      <w:bookmarkEnd w:id="0"/>
      <w:r>
        <w:t>:</w:t>
      </w:r>
      <w:r w:rsidRPr="004D09A6">
        <w:rPr>
          <w:color w:val="333333"/>
          <w:shd w:val="clear" w:color="auto" w:fill="FFFFFF"/>
        </w:rPr>
        <w:t xml:space="preserve"> </w:t>
      </w:r>
      <w:r w:rsidRPr="004D09A6">
        <w:rPr>
          <w:shd w:val="clear" w:color="auto" w:fill="FFFFFF"/>
        </w:rPr>
        <w:t>Mara Juliana Ferrari</w:t>
      </w:r>
    </w:p>
    <w:p w14:paraId="491E9DD3" w14:textId="77777777" w:rsidR="00AA10EA" w:rsidRPr="00B33EA9" w:rsidRDefault="00AA10EA" w:rsidP="00F8000B">
      <w:pPr>
        <w:pStyle w:val="Capa1"/>
      </w:pPr>
    </w:p>
    <w:p w14:paraId="36998E28" w14:textId="77777777" w:rsidR="00AA10EA" w:rsidRPr="00B33EA9" w:rsidRDefault="00AA10EA" w:rsidP="00F8000B">
      <w:pPr>
        <w:pStyle w:val="Capa1"/>
      </w:pPr>
    </w:p>
    <w:p w14:paraId="3BEF5A97" w14:textId="77777777" w:rsidR="00AA10EA" w:rsidRPr="00B33EA9" w:rsidRDefault="00AA10EA" w:rsidP="00F8000B">
      <w:pPr>
        <w:pStyle w:val="Capa1"/>
      </w:pPr>
    </w:p>
    <w:p w14:paraId="68732653" w14:textId="2A2DF85B" w:rsidR="00AA10EA" w:rsidRPr="00B33EA9" w:rsidRDefault="008935A1" w:rsidP="00F8000B">
      <w:pPr>
        <w:pStyle w:val="Capa1"/>
      </w:pPr>
      <w:r>
        <w:t>Taió</w:t>
      </w:r>
      <w:r w:rsidR="004E5221">
        <w:t>, 11</w:t>
      </w:r>
      <w:r w:rsidR="00AA10EA" w:rsidRPr="00B33EA9">
        <w:t xml:space="preserve"> de </w:t>
      </w:r>
      <w:r w:rsidR="004E5221">
        <w:t>dez</w:t>
      </w:r>
      <w:r>
        <w:t>embro</w:t>
      </w:r>
      <w:r w:rsidR="00AA10EA" w:rsidRPr="00B33EA9">
        <w:t xml:space="preserve"> de 20</w:t>
      </w:r>
      <w:r w:rsidR="00AA10EA">
        <w:t>2</w:t>
      </w:r>
      <w:r w:rsidR="00226FD5">
        <w:t>1</w:t>
      </w:r>
      <w:r w:rsidR="00AA10EA" w:rsidRPr="00B33EA9">
        <w:t>.</w:t>
      </w:r>
    </w:p>
    <w:p w14:paraId="167749EF" w14:textId="08250E92" w:rsidR="00AA3281" w:rsidRDefault="00B8782F" w:rsidP="000666EA">
      <w:r w:rsidRPr="00B8782F">
        <w:rPr>
          <w:noProof/>
          <w:lang w:eastAsia="pt-BR"/>
        </w:rPr>
        <mc:AlternateContent>
          <mc:Choice Requires="wps">
            <w:drawing>
              <wp:anchor distT="45720" distB="45720" distL="114300" distR="114300" simplePos="0" relativeHeight="251665408" behindDoc="0" locked="0" layoutInCell="1" allowOverlap="1" wp14:anchorId="7DB238A8" wp14:editId="393487C8">
                <wp:simplePos x="0" y="0"/>
                <wp:positionH relativeFrom="margin">
                  <wp:align>right</wp:align>
                </wp:positionH>
                <wp:positionV relativeFrom="paragraph">
                  <wp:posOffset>-636905</wp:posOffset>
                </wp:positionV>
                <wp:extent cx="219075" cy="200025"/>
                <wp:effectExtent l="0" t="0" r="9525" b="952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noFill/>
                          <a:miter lim="800000"/>
                          <a:headEnd/>
                          <a:tailEnd/>
                        </a:ln>
                      </wps:spPr>
                      <wps:txbx>
                        <w:txbxContent>
                          <w:p w14:paraId="3BEAFCAC" w14:textId="77777777" w:rsidR="00DF47F4" w:rsidRDefault="00DF47F4" w:rsidP="00B87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238A8" id="_x0000_s1029" type="#_x0000_t202" style="position:absolute;margin-left:-33.95pt;margin-top:-50.15pt;width:17.25pt;height:15.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" stroked="f">
                <v:textbox>
                  <w:txbxContent>
                    <w:p w14:paraId="3BEAFCAC" w14:textId="77777777" w:rsidR="00DF47F4" w:rsidRDefault="00DF47F4" w:rsidP="00B8782F"/>
                  </w:txbxContent>
                </v:textbox>
                <w10:wrap anchorx="margin"/>
              </v:shape>
            </w:pict>
          </mc:Fallback>
        </mc:AlternateContent>
      </w:r>
    </w:p>
    <w:p w14:paraId="4532A3C8" w14:textId="512F7724" w:rsidR="00AA3281" w:rsidRDefault="009F49D8" w:rsidP="00F8000B">
      <w:r w:rsidRPr="00B8782F">
        <w:rPr>
          <w:noProof/>
          <w:lang w:eastAsia="pt-BR"/>
        </w:rPr>
        <w:lastRenderedPageBreak/>
        <mc:AlternateContent>
          <mc:Choice Requires="wps">
            <w:drawing>
              <wp:anchor distT="45720" distB="45720" distL="114300" distR="114300" simplePos="0" relativeHeight="251702272" behindDoc="0" locked="0" layoutInCell="1" allowOverlap="1" wp14:anchorId="24FA7ECA" wp14:editId="4472173B">
                <wp:simplePos x="0" y="0"/>
                <wp:positionH relativeFrom="margin">
                  <wp:posOffset>5355171</wp:posOffset>
                </wp:positionH>
                <wp:positionV relativeFrom="paragraph">
                  <wp:posOffset>-680049</wp:posOffset>
                </wp:positionV>
                <wp:extent cx="715992" cy="310551"/>
                <wp:effectExtent l="0" t="0" r="8255" b="0"/>
                <wp:wrapNone/>
                <wp:docPr id="1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92" cy="310551"/>
                        </a:xfrm>
                        <a:prstGeom prst="rect">
                          <a:avLst/>
                        </a:prstGeom>
                        <a:solidFill>
                          <a:srgbClr val="FFFFFF"/>
                        </a:solidFill>
                        <a:ln w="9525">
                          <a:noFill/>
                          <a:miter lim="800000"/>
                          <a:headEnd/>
                          <a:tailEnd/>
                        </a:ln>
                      </wps:spPr>
                      <wps:txbx>
                        <w:txbxContent>
                          <w:p w14:paraId="3A64FBC0" w14:textId="77777777" w:rsidR="00DF47F4" w:rsidRDefault="00DF47F4" w:rsidP="009F49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A7ECA" id="_x0000_s1030" type="#_x0000_t202" style="position:absolute;margin-left:421.65pt;margin-top:-53.55pt;width:56.4pt;height:24.4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" stroked="f">
                <v:textbox>
                  <w:txbxContent>
                    <w:p w14:paraId="3A64FBC0" w14:textId="77777777" w:rsidR="00DF47F4" w:rsidRDefault="00DF47F4" w:rsidP="009F49D8"/>
                  </w:txbxContent>
                </v:textbox>
                <w10:wrap anchorx="margin"/>
              </v:shape>
            </w:pict>
          </mc:Fallback>
        </mc:AlternateContent>
      </w:r>
    </w:p>
    <w:p w14:paraId="2DEC051F" w14:textId="3992CBD5" w:rsidR="00AA3281" w:rsidRDefault="00AA3281" w:rsidP="00F8000B"/>
    <w:p w14:paraId="4FA283EB" w14:textId="70D39A4E" w:rsidR="00AA3281" w:rsidRDefault="00AA3281" w:rsidP="00F8000B"/>
    <w:p w14:paraId="00D39475" w14:textId="2DC3F5EE" w:rsidR="00AA3281" w:rsidRDefault="00AA3281" w:rsidP="00F8000B"/>
    <w:p w14:paraId="51BE6FA5" w14:textId="15384DE2" w:rsidR="00AA3281" w:rsidRDefault="00AA3281" w:rsidP="00F8000B"/>
    <w:p w14:paraId="2C1093A5" w14:textId="4EB98477" w:rsidR="00AA3281" w:rsidRDefault="00AA3281" w:rsidP="00F8000B"/>
    <w:p w14:paraId="3E1BAF49" w14:textId="4BA13226" w:rsidR="00AA3281" w:rsidRDefault="00AA3281" w:rsidP="00F8000B"/>
    <w:p w14:paraId="020DB593" w14:textId="0F87A130" w:rsidR="00AA3281" w:rsidRDefault="00AA3281" w:rsidP="00F8000B"/>
    <w:p w14:paraId="613F70E6" w14:textId="75FC63D6" w:rsidR="00AA3281" w:rsidRDefault="00AA3281" w:rsidP="00F8000B"/>
    <w:p w14:paraId="6E8EF217" w14:textId="4F2AFE83" w:rsidR="00AA3281" w:rsidRDefault="00AA3281" w:rsidP="00F8000B"/>
    <w:p w14:paraId="3F72CCE5" w14:textId="1A974C21" w:rsidR="00AA3281" w:rsidRDefault="00AA3281" w:rsidP="00F8000B"/>
    <w:p w14:paraId="39503CE5" w14:textId="76907DAF" w:rsidR="00AA3281" w:rsidRDefault="00AA3281" w:rsidP="00F8000B"/>
    <w:p w14:paraId="2032A46D" w14:textId="078E4FFA" w:rsidR="00AA3281" w:rsidRDefault="00AA3281" w:rsidP="00F8000B"/>
    <w:p w14:paraId="799ED01B" w14:textId="6DEB1B47" w:rsidR="00AA3281" w:rsidRDefault="00AA3281" w:rsidP="00F8000B"/>
    <w:p w14:paraId="6F825F0B" w14:textId="159E30CE" w:rsidR="00AA3281" w:rsidRDefault="00AA3281" w:rsidP="00F8000B"/>
    <w:p w14:paraId="70C310D8" w14:textId="241E2A30" w:rsidR="00AA3281" w:rsidRDefault="00AA3281" w:rsidP="00F8000B"/>
    <w:p w14:paraId="34453A9F" w14:textId="5A559D76" w:rsidR="00AA3281" w:rsidRDefault="00AA3281" w:rsidP="00F8000B"/>
    <w:p w14:paraId="21869202" w14:textId="51012D01" w:rsidR="00AA3281" w:rsidRDefault="00AA3281" w:rsidP="00F8000B"/>
    <w:p w14:paraId="35285515" w14:textId="25616EF6" w:rsidR="00AA3281" w:rsidRDefault="00AA3281" w:rsidP="00F8000B"/>
    <w:p w14:paraId="25EA8F29" w14:textId="755267DC" w:rsidR="00AA3281" w:rsidRDefault="00AA3281" w:rsidP="00F8000B"/>
    <w:p w14:paraId="75674B4C" w14:textId="3CE5A806" w:rsidR="00AA3281" w:rsidRDefault="00AA3281" w:rsidP="00F8000B"/>
    <w:p w14:paraId="516BD08F" w14:textId="1F5A0551" w:rsidR="00AA3281" w:rsidRDefault="00AA3281" w:rsidP="00F8000B"/>
    <w:p w14:paraId="5B8AB696" w14:textId="370DC5CE" w:rsidR="00AA3281" w:rsidRDefault="00AA3281" w:rsidP="00F8000B"/>
    <w:p w14:paraId="266A3FB6" w14:textId="5BC3AACA" w:rsidR="00AA3281" w:rsidRDefault="00AA3281" w:rsidP="00F8000B"/>
    <w:p w14:paraId="7C7BE5DD" w14:textId="7CC3AAFB" w:rsidR="00AA3281" w:rsidRDefault="00AA3281" w:rsidP="00F8000B"/>
    <w:p w14:paraId="79835498" w14:textId="6A313E5A" w:rsidR="00AA3281" w:rsidRDefault="00AA3281" w:rsidP="00F8000B"/>
    <w:p w14:paraId="7E31E4B3" w14:textId="58B11850" w:rsidR="00AA3281" w:rsidRDefault="00AA3281" w:rsidP="00F8000B"/>
    <w:p w14:paraId="1CFE957F" w14:textId="0D655D68" w:rsidR="00AA3281" w:rsidRDefault="00AA3281" w:rsidP="00F8000B"/>
    <w:p w14:paraId="04BD1D33" w14:textId="785D3287" w:rsidR="00AA3281" w:rsidRDefault="00AA3281" w:rsidP="00F8000B"/>
    <w:p w14:paraId="2A685FDA" w14:textId="07A01282" w:rsidR="00AA3281" w:rsidRDefault="00AA3281" w:rsidP="00F8000B"/>
    <w:p w14:paraId="22F2BACD" w14:textId="5313C1E1" w:rsidR="00AA3281" w:rsidRDefault="00AA3281" w:rsidP="00F8000B"/>
    <w:p w14:paraId="3801BBD7" w14:textId="7D5315FE" w:rsidR="00AA3281" w:rsidRDefault="00AA3281" w:rsidP="00F8000B"/>
    <w:p w14:paraId="777FABC7" w14:textId="403D4EE6" w:rsidR="00AA3281" w:rsidRDefault="00AA3281" w:rsidP="00F8000B"/>
    <w:p w14:paraId="0B0896C3" w14:textId="02201662" w:rsidR="00AA3281" w:rsidRDefault="00AA3281" w:rsidP="00F8000B"/>
    <w:p w14:paraId="136A4151" w14:textId="5B41857B" w:rsidR="00AA3281" w:rsidRDefault="00AA3281" w:rsidP="00F8000B"/>
    <w:p w14:paraId="27713A9D" w14:textId="77777777" w:rsidR="00AA3281" w:rsidRDefault="00AA3281" w:rsidP="00F8000B"/>
    <w:p w14:paraId="11F03EFB" w14:textId="53956D9B" w:rsidR="000666EA" w:rsidRDefault="000666EA" w:rsidP="00F8000B"/>
    <w:p w14:paraId="100A5AC5" w14:textId="665769EB" w:rsidR="000666EA" w:rsidRDefault="000666EA" w:rsidP="00F8000B"/>
    <w:p w14:paraId="428758FA" w14:textId="48F5C2BB" w:rsidR="000666EA" w:rsidRDefault="000666EA" w:rsidP="00F8000B"/>
    <w:p w14:paraId="173C6324" w14:textId="20A55367" w:rsidR="004E5221" w:rsidRDefault="004E5221" w:rsidP="00F8000B"/>
    <w:p w14:paraId="017D6938" w14:textId="08458DB8" w:rsidR="004E5221" w:rsidRDefault="004E5221" w:rsidP="00F8000B"/>
    <w:p w14:paraId="6F5A72CE" w14:textId="1F92C178" w:rsidR="004E5221" w:rsidRDefault="004E5221" w:rsidP="00F8000B"/>
    <w:p w14:paraId="5C14ED7C" w14:textId="32CD6920" w:rsidR="004E5221" w:rsidRDefault="004E5221" w:rsidP="00F8000B"/>
    <w:p w14:paraId="48E99561" w14:textId="46031E71" w:rsidR="004E5221" w:rsidRDefault="004E5221" w:rsidP="00F8000B"/>
    <w:p w14:paraId="00B99CBA" w14:textId="5675990C" w:rsidR="000666EA" w:rsidRDefault="000666EA" w:rsidP="00F8000B"/>
    <w:p w14:paraId="3C2494D1" w14:textId="0EFB6983" w:rsidR="00746863" w:rsidRDefault="00746863" w:rsidP="00F8000B"/>
    <w:p w14:paraId="1CD1F5CE" w14:textId="0BB1A7A9" w:rsidR="00AA10EA" w:rsidRDefault="00AA10EA" w:rsidP="00F8000B"/>
    <w:p w14:paraId="3DCFA05A" w14:textId="13650F96" w:rsidR="00AA10EA" w:rsidRPr="004E5221" w:rsidRDefault="00BF4EE9" w:rsidP="004E5221">
      <w:pPr>
        <w:pStyle w:val="UnidaviTexto-Espao15"/>
        <w:ind w:firstLine="708"/>
      </w:pPr>
      <w:r w:rsidRPr="004E5221">
        <w:t xml:space="preserve">Dentre as verdades, como afirmam Aristóteles e Averróis, as nossas matemáticas são as mais verdadeiras e estão no primeiro grau de certeza, e a estas seguem-se todas as demais </w:t>
      </w:r>
      <w:r w:rsidR="00746863" w:rsidRPr="004E5221">
        <w:t>ciências naturais. (Luca Pacioli</w:t>
      </w:r>
      <w:r w:rsidR="00AA10EA" w:rsidRPr="004E5221">
        <w:t>).</w:t>
      </w:r>
    </w:p>
    <w:p w14:paraId="61475F3B" w14:textId="77777777" w:rsidR="00AA10EA" w:rsidRPr="00B33EA9" w:rsidRDefault="00B8782F" w:rsidP="00F8000B">
      <w:r w:rsidRPr="00B8782F">
        <w:rPr>
          <w:noProof/>
          <w:lang w:eastAsia="pt-BR"/>
        </w:rPr>
        <w:lastRenderedPageBreak/>
        <mc:AlternateContent>
          <mc:Choice Requires="wps">
            <w:drawing>
              <wp:anchor distT="45720" distB="45720" distL="114300" distR="114300" simplePos="0" relativeHeight="251667456" behindDoc="0" locked="0" layoutInCell="1" allowOverlap="1" wp14:anchorId="2F49DC26" wp14:editId="76AF82C7">
                <wp:simplePos x="0" y="0"/>
                <wp:positionH relativeFrom="margin">
                  <wp:posOffset>5355171</wp:posOffset>
                </wp:positionH>
                <wp:positionV relativeFrom="paragraph">
                  <wp:posOffset>-654170</wp:posOffset>
                </wp:positionV>
                <wp:extent cx="345056" cy="293298"/>
                <wp:effectExtent l="0" t="0" r="0" b="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6" cy="293298"/>
                        </a:xfrm>
                        <a:prstGeom prst="rect">
                          <a:avLst/>
                        </a:prstGeom>
                        <a:solidFill>
                          <a:srgbClr val="FFFFFF"/>
                        </a:solidFill>
                        <a:ln w="9525">
                          <a:noFill/>
                          <a:miter lim="800000"/>
                          <a:headEnd/>
                          <a:tailEnd/>
                        </a:ln>
                      </wps:spPr>
                      <wps:txbx>
                        <w:txbxContent>
                          <w:p w14:paraId="3D8A538D" w14:textId="77777777" w:rsidR="00DF47F4" w:rsidRDefault="00DF47F4" w:rsidP="00B87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9DC26" id="_x0000_s1031" type="#_x0000_t202" style="position:absolute;margin-left:421.65pt;margin-top:-51.5pt;width:27.15pt;height:23.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" stroked="f">
                <v:textbox>
                  <w:txbxContent>
                    <w:p w14:paraId="3D8A538D" w14:textId="77777777" w:rsidR="00DF47F4" w:rsidRDefault="00DF47F4" w:rsidP="00B8782F"/>
                  </w:txbxContent>
                </v:textbox>
                <w10:wrap anchorx="margin"/>
              </v:shape>
            </w:pict>
          </mc:Fallback>
        </mc:AlternateContent>
      </w:r>
    </w:p>
    <w:p w14:paraId="0A1D3FAA" w14:textId="77777777" w:rsidR="00AA10EA" w:rsidRPr="00B33EA9" w:rsidRDefault="00AA10EA" w:rsidP="00F8000B"/>
    <w:p w14:paraId="1F201F72" w14:textId="77777777" w:rsidR="00AA10EA" w:rsidRPr="00B33EA9" w:rsidRDefault="00AA10EA" w:rsidP="00F8000B"/>
    <w:p w14:paraId="2E632538" w14:textId="77777777" w:rsidR="00AA10EA" w:rsidRPr="00B33EA9" w:rsidRDefault="00AA10EA" w:rsidP="00F8000B"/>
    <w:p w14:paraId="2C978FCA" w14:textId="77777777" w:rsidR="00AA10EA" w:rsidRPr="00B33EA9" w:rsidRDefault="00AA10EA" w:rsidP="00F8000B"/>
    <w:p w14:paraId="4D7405EF" w14:textId="77777777" w:rsidR="00AA10EA" w:rsidRPr="00B33EA9" w:rsidRDefault="00AA10EA" w:rsidP="00F8000B"/>
    <w:p w14:paraId="77147B96" w14:textId="77777777" w:rsidR="00AA10EA" w:rsidRPr="00B33EA9" w:rsidRDefault="00AA10EA" w:rsidP="00F8000B"/>
    <w:p w14:paraId="67D61A8F" w14:textId="77777777" w:rsidR="00AA10EA" w:rsidRPr="00B33EA9" w:rsidRDefault="00AA10EA" w:rsidP="00F8000B"/>
    <w:p w14:paraId="1BC5BD8A" w14:textId="77777777" w:rsidR="00AA10EA" w:rsidRPr="00B33EA9" w:rsidRDefault="00AA10EA" w:rsidP="00F8000B"/>
    <w:p w14:paraId="0C050598" w14:textId="77777777" w:rsidR="00AA10EA" w:rsidRPr="00B33EA9" w:rsidRDefault="00AA10EA" w:rsidP="00F8000B"/>
    <w:p w14:paraId="37B43D02" w14:textId="77777777" w:rsidR="00AA10EA" w:rsidRPr="00B33EA9" w:rsidRDefault="00AA10EA" w:rsidP="00F8000B"/>
    <w:p w14:paraId="189556B0" w14:textId="77777777" w:rsidR="00AA10EA" w:rsidRPr="00B33EA9" w:rsidRDefault="00AA10EA" w:rsidP="00F8000B"/>
    <w:p w14:paraId="342B5310" w14:textId="77777777" w:rsidR="00AA10EA" w:rsidRPr="00B33EA9" w:rsidRDefault="00AA10EA" w:rsidP="00F8000B"/>
    <w:p w14:paraId="7D1E5E55" w14:textId="77777777" w:rsidR="00AA10EA" w:rsidRPr="00B33EA9" w:rsidRDefault="00AA10EA" w:rsidP="00F8000B"/>
    <w:p w14:paraId="1115D4B3" w14:textId="77777777" w:rsidR="00AA10EA" w:rsidRPr="00B33EA9" w:rsidRDefault="00AA10EA" w:rsidP="00F8000B"/>
    <w:p w14:paraId="0D8D8736" w14:textId="77777777" w:rsidR="00AA10EA" w:rsidRPr="00B33EA9" w:rsidRDefault="00AA10EA" w:rsidP="00F8000B"/>
    <w:p w14:paraId="0988CE3B" w14:textId="77777777" w:rsidR="00AA10EA" w:rsidRPr="00B33EA9" w:rsidRDefault="00AA10EA" w:rsidP="00F8000B"/>
    <w:p w14:paraId="605C55F8" w14:textId="77777777" w:rsidR="00AA10EA" w:rsidRPr="00B33EA9" w:rsidRDefault="00AA10EA" w:rsidP="00F8000B"/>
    <w:p w14:paraId="515AEF32" w14:textId="77777777" w:rsidR="00AA10EA" w:rsidRPr="00B33EA9" w:rsidRDefault="00AA10EA" w:rsidP="00F8000B"/>
    <w:p w14:paraId="289744C8" w14:textId="77777777" w:rsidR="00AA10EA" w:rsidRPr="00B33EA9" w:rsidRDefault="00AA10EA" w:rsidP="00F8000B"/>
    <w:p w14:paraId="4E366A8C" w14:textId="77777777" w:rsidR="00AA10EA" w:rsidRPr="00B33EA9" w:rsidRDefault="00AA10EA" w:rsidP="00F8000B"/>
    <w:p w14:paraId="18A2580D" w14:textId="77777777" w:rsidR="00AA10EA" w:rsidRPr="00B33EA9" w:rsidRDefault="00AA10EA" w:rsidP="00F8000B"/>
    <w:p w14:paraId="2718A060" w14:textId="77777777" w:rsidR="00AA10EA" w:rsidRPr="00B33EA9" w:rsidRDefault="00AA10EA" w:rsidP="00F8000B"/>
    <w:p w14:paraId="76CD3872" w14:textId="77777777" w:rsidR="00AA10EA" w:rsidRPr="00B33EA9" w:rsidRDefault="00AA10EA" w:rsidP="00F8000B"/>
    <w:p w14:paraId="39FB68BF" w14:textId="77777777" w:rsidR="00AA10EA" w:rsidRPr="00B33EA9" w:rsidRDefault="00AA10EA" w:rsidP="00F8000B"/>
    <w:p w14:paraId="7CEE409F" w14:textId="77777777" w:rsidR="00AA10EA" w:rsidRPr="00B33EA9" w:rsidRDefault="00AA10EA" w:rsidP="00F8000B"/>
    <w:p w14:paraId="5B3220C7" w14:textId="77777777" w:rsidR="00AA10EA" w:rsidRPr="00B33EA9" w:rsidRDefault="00AA10EA" w:rsidP="00F8000B"/>
    <w:p w14:paraId="2D204670" w14:textId="77777777" w:rsidR="00AA10EA" w:rsidRPr="00B33EA9" w:rsidRDefault="00AA10EA" w:rsidP="00F8000B"/>
    <w:p w14:paraId="4A3B0FDA" w14:textId="77777777" w:rsidR="00AA10EA" w:rsidRPr="00B33EA9" w:rsidRDefault="00AA10EA" w:rsidP="00F8000B"/>
    <w:p w14:paraId="56DBFDE1" w14:textId="77777777" w:rsidR="00AA10EA" w:rsidRPr="00B33EA9" w:rsidRDefault="00AA10EA" w:rsidP="00F8000B"/>
    <w:p w14:paraId="50A778DA" w14:textId="77777777" w:rsidR="00AA10EA" w:rsidRPr="00B33EA9" w:rsidRDefault="00AA10EA" w:rsidP="00F8000B"/>
    <w:p w14:paraId="43D43469" w14:textId="77777777" w:rsidR="00AA10EA" w:rsidRPr="00B33EA9" w:rsidRDefault="00AA10EA" w:rsidP="00F8000B"/>
    <w:p w14:paraId="3EEB8B98" w14:textId="77777777" w:rsidR="00AA10EA" w:rsidRPr="00B33EA9" w:rsidRDefault="00AA10EA" w:rsidP="00F8000B"/>
    <w:p w14:paraId="6D570BD3" w14:textId="77777777" w:rsidR="00AA10EA" w:rsidRPr="00B33EA9" w:rsidRDefault="00AA10EA" w:rsidP="00F8000B"/>
    <w:p w14:paraId="3F6D940A" w14:textId="77777777" w:rsidR="00AA10EA" w:rsidRPr="00B33EA9" w:rsidRDefault="00AA10EA" w:rsidP="00F8000B"/>
    <w:p w14:paraId="69D51D2B" w14:textId="77777777" w:rsidR="00AA10EA" w:rsidRPr="00B33EA9" w:rsidRDefault="00AA10EA" w:rsidP="00F8000B"/>
    <w:p w14:paraId="2FCCFD26" w14:textId="77777777" w:rsidR="00AA10EA" w:rsidRDefault="00AA10EA" w:rsidP="00F8000B"/>
    <w:p w14:paraId="66185E50" w14:textId="77777777" w:rsidR="00AA10EA" w:rsidRDefault="00AA10EA" w:rsidP="00F8000B"/>
    <w:p w14:paraId="4FE71627" w14:textId="77777777" w:rsidR="00AA10EA" w:rsidRDefault="00AA10EA" w:rsidP="00F8000B"/>
    <w:p w14:paraId="6F49B001" w14:textId="77777777" w:rsidR="00AA10EA" w:rsidRPr="00B33EA9" w:rsidRDefault="00AA10EA" w:rsidP="00F8000B"/>
    <w:p w14:paraId="78F20E65" w14:textId="77777777" w:rsidR="00AA10EA" w:rsidRPr="00B33EA9" w:rsidRDefault="00AA10EA" w:rsidP="00F8000B"/>
    <w:p w14:paraId="791F3897" w14:textId="77777777" w:rsidR="00AA10EA" w:rsidRPr="00B33EA9" w:rsidRDefault="00AA10EA" w:rsidP="00F8000B"/>
    <w:p w14:paraId="3DCAFB75" w14:textId="77777777" w:rsidR="00AA10EA" w:rsidRPr="00B33EA9" w:rsidRDefault="00AA10EA" w:rsidP="00F8000B"/>
    <w:p w14:paraId="2F1D820F" w14:textId="1E52FF31" w:rsidR="00AA10EA" w:rsidRPr="00B33EA9" w:rsidRDefault="00AA3281" w:rsidP="00F8000B">
      <w:r w:rsidRPr="00B8782F">
        <w:rPr>
          <w:noProof/>
          <w:lang w:eastAsia="pt-BR"/>
        </w:rPr>
        <mc:AlternateContent>
          <mc:Choice Requires="wps">
            <w:drawing>
              <wp:anchor distT="45720" distB="45720" distL="114300" distR="114300" simplePos="0" relativeHeight="251681792" behindDoc="0" locked="0" layoutInCell="1" allowOverlap="1" wp14:anchorId="7114CB59" wp14:editId="62C0B83E">
                <wp:simplePos x="0" y="0"/>
                <wp:positionH relativeFrom="margin">
                  <wp:align>right</wp:align>
                </wp:positionH>
                <wp:positionV relativeFrom="paragraph">
                  <wp:posOffset>-630555</wp:posOffset>
                </wp:positionV>
                <wp:extent cx="219075" cy="200025"/>
                <wp:effectExtent l="0" t="0" r="9525" b="9525"/>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noFill/>
                          <a:miter lim="800000"/>
                          <a:headEnd/>
                          <a:tailEnd/>
                        </a:ln>
                      </wps:spPr>
                      <wps:txbx>
                        <w:txbxContent>
                          <w:p w14:paraId="7DB76645" w14:textId="77777777" w:rsidR="00DF47F4" w:rsidRDefault="00DF47F4" w:rsidP="00AA32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4CB59" id="_x0000_s1032" type="#_x0000_t202" style="position:absolute;margin-left:-33.95pt;margin-top:-49.65pt;width:17.25pt;height:15.7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" stroked="f">
                <v:textbox>
                  <w:txbxContent>
                    <w:p w14:paraId="7DB76645" w14:textId="77777777" w:rsidR="00DF47F4" w:rsidRDefault="00DF47F4" w:rsidP="00AA3281"/>
                  </w:txbxContent>
                </v:textbox>
                <w10:wrap anchorx="margin"/>
              </v:shape>
            </w:pict>
          </mc:Fallback>
        </mc:AlternateContent>
      </w:r>
    </w:p>
    <w:p w14:paraId="1A134907" w14:textId="77777777" w:rsidR="00AA10EA" w:rsidRPr="00B33EA9" w:rsidRDefault="00AA10EA" w:rsidP="00F8000B"/>
    <w:p w14:paraId="70E54145" w14:textId="6E88E797" w:rsidR="00AA10EA" w:rsidRPr="00B33EA9" w:rsidRDefault="00441F47" w:rsidP="00F8000B">
      <w:pPr>
        <w:pStyle w:val="Capa3"/>
      </w:pPr>
      <w:r>
        <w:t xml:space="preserve">Foi pensando nas pessoas que </w:t>
      </w:r>
      <w:r w:rsidR="00646E56">
        <w:t>realizei</w:t>
      </w:r>
      <w:r>
        <w:t xml:space="preserve"> esse projeto, por isso dedico este tra</w:t>
      </w:r>
      <w:r w:rsidR="00672CB9">
        <w:t>balho a</w:t>
      </w:r>
      <w:r w:rsidR="001C6C06">
        <w:t xml:space="preserve"> </w:t>
      </w:r>
      <w:r w:rsidR="00672CB9">
        <w:t>todos os interessados</w:t>
      </w:r>
      <w:r w:rsidR="001C6C06">
        <w:t xml:space="preserve"> que ess</w:t>
      </w:r>
      <w:r>
        <w:t>a pesquisa possa impactar de alguma forma.</w:t>
      </w:r>
    </w:p>
    <w:p w14:paraId="2605E8F5" w14:textId="77777777" w:rsidR="00AA10EA" w:rsidRPr="00720A7D" w:rsidRDefault="00AA10EA" w:rsidP="00F8000B">
      <w:pPr>
        <w:pStyle w:val="UNIDAVISEOPRIMRIA"/>
        <w:jc w:val="center"/>
        <w:rPr>
          <w:lang w:val="pt-BR"/>
        </w:rPr>
      </w:pPr>
      <w:r>
        <w:rPr>
          <w:lang w:val="pt-BR"/>
        </w:rPr>
        <w:br w:type="page"/>
      </w:r>
      <w:r w:rsidR="00B8782F" w:rsidRPr="00B8782F">
        <w:rPr>
          <w:noProof/>
          <w:lang w:val="pt-BR" w:eastAsia="pt-BR"/>
        </w:rPr>
        <w:lastRenderedPageBreak/>
        <mc:AlternateContent>
          <mc:Choice Requires="wps">
            <w:drawing>
              <wp:anchor distT="45720" distB="45720" distL="114300" distR="114300" simplePos="0" relativeHeight="251669504" behindDoc="0" locked="0" layoutInCell="1" allowOverlap="1" wp14:anchorId="7B27C68E" wp14:editId="54924C20">
                <wp:simplePos x="0" y="0"/>
                <wp:positionH relativeFrom="margin">
                  <wp:align>right</wp:align>
                </wp:positionH>
                <wp:positionV relativeFrom="paragraph">
                  <wp:posOffset>-654170</wp:posOffset>
                </wp:positionV>
                <wp:extent cx="219075" cy="310551"/>
                <wp:effectExtent l="0" t="0" r="9525"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10551"/>
                        </a:xfrm>
                        <a:prstGeom prst="rect">
                          <a:avLst/>
                        </a:prstGeom>
                        <a:solidFill>
                          <a:srgbClr val="FFFFFF"/>
                        </a:solidFill>
                        <a:ln w="9525">
                          <a:noFill/>
                          <a:miter lim="800000"/>
                          <a:headEnd/>
                          <a:tailEnd/>
                        </a:ln>
                      </wps:spPr>
                      <wps:txbx>
                        <w:txbxContent>
                          <w:p w14:paraId="5FBF4F28" w14:textId="77777777" w:rsidR="00DF47F4" w:rsidRDefault="00DF47F4" w:rsidP="00B87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7C68E" id="_x0000_s1033" type="#_x0000_t202" style="position:absolute;left:0;text-align:left;margin-left:-33.95pt;margin-top:-51.5pt;width:17.25pt;height:24.4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" stroked="f">
                <v:textbox>
                  <w:txbxContent>
                    <w:p w14:paraId="5FBF4F28" w14:textId="77777777" w:rsidR="00DF47F4" w:rsidRDefault="00DF47F4" w:rsidP="00B8782F"/>
                  </w:txbxContent>
                </v:textbox>
                <w10:wrap anchorx="margin"/>
              </v:shape>
            </w:pict>
          </mc:Fallback>
        </mc:AlternateContent>
      </w:r>
      <w:r w:rsidRPr="00720A7D">
        <w:rPr>
          <w:lang w:val="pt-BR"/>
        </w:rPr>
        <w:t>AGRADECIMENTOS</w:t>
      </w:r>
    </w:p>
    <w:p w14:paraId="4BC6C044" w14:textId="77777777" w:rsidR="00AA10EA" w:rsidRPr="00B33EA9" w:rsidRDefault="00AA10EA" w:rsidP="00F8000B"/>
    <w:p w14:paraId="22CAD290" w14:textId="77777777" w:rsidR="00AA10EA" w:rsidRPr="00B33EA9" w:rsidRDefault="00AA10EA" w:rsidP="00F8000B"/>
    <w:p w14:paraId="59FC9A54" w14:textId="77777777" w:rsidR="00AA10EA" w:rsidRPr="00B33EA9" w:rsidRDefault="00AA10EA" w:rsidP="00F8000B"/>
    <w:p w14:paraId="4AB97550" w14:textId="5998876D" w:rsidR="00AA10EA" w:rsidRPr="00EE6B5A" w:rsidRDefault="00EE6B5A" w:rsidP="00213B0F">
      <w:pPr>
        <w:pStyle w:val="UnidaviTexto-Espao15"/>
      </w:pPr>
      <w:r w:rsidRPr="00EE6B5A">
        <w:t xml:space="preserve">A </w:t>
      </w:r>
      <w:r>
        <w:t xml:space="preserve">Deus, pela minha vida, e por me permitir ultrapassar todos os obstáculos encontrados ao longo da realização desse trabalho. Aos amigos, que sempre estiveram ao meu lado, pela amizade incondicional e pelo apoio demonstrado ao longo desse período de tempo em que me dediquei a este trabalho. Aos professores, por todos os conselhos, pela ajuda e pela paciência com a qual guiaram o meu aprendizado. Às pessoas com quem convivi ao longo desses anos de curso, que participaram direta e indiretamente no desenvolvimento deste trabalho de pesquisa, que me incentivaram e que certamente tiveram impacto na minha formação acadêmica. Aos meus colegas de curso, com quem convivi intensamente durante os últimos anos, pelo companheirismo e pela troca de experiências que me permitiram crescer não só como pessoa, mas também </w:t>
      </w:r>
      <w:r w:rsidR="00441F47">
        <w:t xml:space="preserve">como </w:t>
      </w:r>
      <w:r w:rsidR="00672CB9">
        <w:t>acadêmica</w:t>
      </w:r>
      <w:r w:rsidR="00441F47">
        <w:t>. À instituição de ensino UNIDAVI, essencial no meu processo de formação profissional, pela dedicação, e por tudo o que aprendi ao longo dessa caminhada.</w:t>
      </w:r>
    </w:p>
    <w:p w14:paraId="47D64E03" w14:textId="77777777" w:rsidR="00AA10EA" w:rsidRPr="00B33EA9" w:rsidRDefault="00AA10EA" w:rsidP="00213B0F">
      <w:pPr>
        <w:spacing w:line="360" w:lineRule="auto"/>
      </w:pPr>
    </w:p>
    <w:p w14:paraId="380F82AE" w14:textId="77777777" w:rsidR="00AA10EA" w:rsidRPr="00720A7D" w:rsidRDefault="00AA10EA" w:rsidP="00213B0F">
      <w:pPr>
        <w:pStyle w:val="UNIDAVISEOPRIMRIA"/>
        <w:spacing w:line="360" w:lineRule="auto"/>
        <w:jc w:val="center"/>
        <w:rPr>
          <w:lang w:val="pt-BR"/>
        </w:rPr>
      </w:pPr>
    </w:p>
    <w:p w14:paraId="46151059" w14:textId="77777777" w:rsidR="00AA10EA" w:rsidRPr="00720A7D" w:rsidRDefault="00AA10EA" w:rsidP="00F8000B">
      <w:pPr>
        <w:pStyle w:val="UNIDAVISEOPRIMRIA"/>
        <w:jc w:val="center"/>
        <w:rPr>
          <w:lang w:val="pt-BR"/>
        </w:rPr>
      </w:pPr>
    </w:p>
    <w:p w14:paraId="3120F695" w14:textId="77777777" w:rsidR="00AA10EA" w:rsidRPr="00720A7D" w:rsidRDefault="00AA10EA" w:rsidP="00F8000B">
      <w:pPr>
        <w:pStyle w:val="UNIDAVISEOPRIMRIA"/>
        <w:jc w:val="center"/>
        <w:rPr>
          <w:lang w:val="pt-BR"/>
        </w:rPr>
      </w:pPr>
    </w:p>
    <w:p w14:paraId="58A07A35" w14:textId="77777777" w:rsidR="00AA10EA" w:rsidRPr="00720A7D" w:rsidRDefault="00AA10EA" w:rsidP="00F8000B">
      <w:pPr>
        <w:pStyle w:val="UNIDAVISEOPRIMRIA"/>
        <w:jc w:val="center"/>
        <w:rPr>
          <w:lang w:val="pt-BR"/>
        </w:rPr>
      </w:pPr>
    </w:p>
    <w:p w14:paraId="1F7D396B" w14:textId="77777777" w:rsidR="00AA10EA" w:rsidRPr="00720A7D" w:rsidRDefault="00AA10EA" w:rsidP="00F8000B">
      <w:pPr>
        <w:pStyle w:val="UNIDAVISEOPRIMRIA"/>
        <w:jc w:val="center"/>
        <w:rPr>
          <w:lang w:val="pt-BR"/>
        </w:rPr>
      </w:pPr>
    </w:p>
    <w:p w14:paraId="22108282" w14:textId="77777777" w:rsidR="00AA10EA" w:rsidRPr="00720A7D" w:rsidRDefault="00AA10EA" w:rsidP="00F8000B">
      <w:pPr>
        <w:pStyle w:val="UNIDAVISEOPRIMRIA"/>
        <w:jc w:val="center"/>
        <w:rPr>
          <w:lang w:val="pt-BR"/>
        </w:rPr>
      </w:pPr>
    </w:p>
    <w:p w14:paraId="6E6B7763" w14:textId="77777777" w:rsidR="00AA10EA" w:rsidRPr="00720A7D" w:rsidRDefault="00AA10EA" w:rsidP="00F8000B">
      <w:pPr>
        <w:pStyle w:val="UNIDAVISEOPRIMRIA"/>
        <w:jc w:val="center"/>
        <w:rPr>
          <w:lang w:val="pt-BR"/>
        </w:rPr>
      </w:pPr>
    </w:p>
    <w:p w14:paraId="2BCFF9B7" w14:textId="77777777" w:rsidR="00AA10EA" w:rsidRPr="00720A7D" w:rsidRDefault="00AA10EA" w:rsidP="00F8000B">
      <w:pPr>
        <w:pStyle w:val="UNIDAVISEOPRIMRIA"/>
        <w:jc w:val="center"/>
        <w:rPr>
          <w:lang w:val="pt-BR"/>
        </w:rPr>
      </w:pPr>
    </w:p>
    <w:p w14:paraId="64ABB8EB" w14:textId="77777777" w:rsidR="00AA10EA" w:rsidRPr="00720A7D" w:rsidRDefault="00AA10EA" w:rsidP="00F8000B">
      <w:pPr>
        <w:pStyle w:val="UNIDAVISEOPRIMRIA"/>
        <w:jc w:val="center"/>
        <w:rPr>
          <w:lang w:val="pt-BR"/>
        </w:rPr>
      </w:pPr>
    </w:p>
    <w:p w14:paraId="2AE20E9A" w14:textId="77777777" w:rsidR="00AA10EA" w:rsidRPr="00720A7D" w:rsidRDefault="00AA10EA" w:rsidP="00F8000B">
      <w:pPr>
        <w:pStyle w:val="UNIDAVISEOPRIMRIA"/>
        <w:jc w:val="center"/>
        <w:rPr>
          <w:lang w:val="pt-BR"/>
        </w:rPr>
      </w:pPr>
    </w:p>
    <w:p w14:paraId="3D56EDC2" w14:textId="77777777" w:rsidR="00AA10EA" w:rsidRPr="00720A7D" w:rsidRDefault="00AA10EA" w:rsidP="00F8000B">
      <w:pPr>
        <w:pStyle w:val="UNIDAVISEOPRIMRIA"/>
        <w:jc w:val="center"/>
        <w:rPr>
          <w:lang w:val="pt-BR"/>
        </w:rPr>
      </w:pPr>
    </w:p>
    <w:p w14:paraId="4AEBEDB6" w14:textId="77777777" w:rsidR="00AA10EA" w:rsidRPr="00720A7D" w:rsidRDefault="00AA10EA" w:rsidP="00F8000B">
      <w:pPr>
        <w:pStyle w:val="UNIDAVISEOPRIMRIA"/>
        <w:jc w:val="center"/>
        <w:rPr>
          <w:lang w:val="pt-BR"/>
        </w:rPr>
      </w:pPr>
    </w:p>
    <w:p w14:paraId="580B4ED6" w14:textId="77777777" w:rsidR="00AA10EA" w:rsidRPr="00720A7D" w:rsidRDefault="00AA10EA" w:rsidP="00F8000B">
      <w:pPr>
        <w:pStyle w:val="UNIDAVISEOPRIMRIA"/>
        <w:jc w:val="center"/>
        <w:rPr>
          <w:lang w:val="pt-BR"/>
        </w:rPr>
      </w:pPr>
    </w:p>
    <w:p w14:paraId="44DC3AEA" w14:textId="77777777" w:rsidR="00AA10EA" w:rsidRPr="00720A7D" w:rsidRDefault="00AA10EA" w:rsidP="00F8000B">
      <w:pPr>
        <w:pStyle w:val="UNIDAVISEOPRIMRIA"/>
        <w:jc w:val="center"/>
        <w:rPr>
          <w:lang w:val="pt-BR"/>
        </w:rPr>
      </w:pPr>
    </w:p>
    <w:p w14:paraId="4FCCEE4F" w14:textId="77777777" w:rsidR="00AA10EA" w:rsidRPr="00720A7D" w:rsidRDefault="00AA10EA" w:rsidP="00F8000B">
      <w:pPr>
        <w:pStyle w:val="UNIDAVISEOPRIMRIA"/>
        <w:jc w:val="center"/>
        <w:rPr>
          <w:lang w:val="pt-BR"/>
        </w:rPr>
      </w:pPr>
    </w:p>
    <w:p w14:paraId="03DF3B99" w14:textId="77777777" w:rsidR="00AA10EA" w:rsidRPr="00720A7D" w:rsidRDefault="00AA10EA" w:rsidP="00F8000B">
      <w:pPr>
        <w:pStyle w:val="UNIDAVISEOPRIMRIA"/>
        <w:jc w:val="center"/>
        <w:rPr>
          <w:lang w:val="pt-BR"/>
        </w:rPr>
      </w:pPr>
    </w:p>
    <w:p w14:paraId="25FE0977" w14:textId="77777777" w:rsidR="00AA10EA" w:rsidRPr="00720A7D" w:rsidRDefault="00AA10EA" w:rsidP="00F8000B">
      <w:pPr>
        <w:pStyle w:val="UNIDAVISEOPRIMRIA"/>
        <w:jc w:val="center"/>
        <w:rPr>
          <w:lang w:val="pt-BR"/>
        </w:rPr>
      </w:pPr>
    </w:p>
    <w:p w14:paraId="1DBDEC81" w14:textId="77777777" w:rsidR="00AA10EA" w:rsidRPr="00720A7D" w:rsidRDefault="00AA10EA" w:rsidP="00F8000B">
      <w:pPr>
        <w:pStyle w:val="UNIDAVISEOPRIMRIA"/>
        <w:jc w:val="center"/>
        <w:rPr>
          <w:lang w:val="pt-BR"/>
        </w:rPr>
      </w:pPr>
    </w:p>
    <w:p w14:paraId="1A26D547" w14:textId="77777777" w:rsidR="00AA10EA" w:rsidRPr="00720A7D" w:rsidRDefault="00AA10EA" w:rsidP="00F8000B">
      <w:pPr>
        <w:pStyle w:val="UNIDAVISEOPRIMRIA"/>
        <w:jc w:val="center"/>
        <w:rPr>
          <w:lang w:val="pt-BR"/>
        </w:rPr>
      </w:pPr>
    </w:p>
    <w:p w14:paraId="5ED0B20C" w14:textId="77777777" w:rsidR="00AA10EA" w:rsidRPr="00720A7D" w:rsidRDefault="00AA10EA" w:rsidP="00F8000B">
      <w:pPr>
        <w:pStyle w:val="UNIDAVISEOPRIMRIA"/>
        <w:jc w:val="center"/>
        <w:rPr>
          <w:lang w:val="pt-BR"/>
        </w:rPr>
      </w:pPr>
    </w:p>
    <w:p w14:paraId="074B6B7A" w14:textId="77777777" w:rsidR="00AA10EA" w:rsidRPr="00720A7D" w:rsidRDefault="00AA10EA" w:rsidP="00F8000B">
      <w:pPr>
        <w:pStyle w:val="UNIDAVISEOPRIMRIA"/>
        <w:jc w:val="center"/>
        <w:rPr>
          <w:lang w:val="pt-BR"/>
        </w:rPr>
      </w:pPr>
    </w:p>
    <w:p w14:paraId="7366D71F" w14:textId="77777777" w:rsidR="00AA10EA" w:rsidRPr="00720A7D" w:rsidRDefault="00AA10EA" w:rsidP="00F8000B">
      <w:pPr>
        <w:pStyle w:val="UNIDAVISEOPRIMRIA"/>
        <w:jc w:val="center"/>
        <w:rPr>
          <w:lang w:val="pt-BR"/>
        </w:rPr>
      </w:pPr>
    </w:p>
    <w:p w14:paraId="4B57BC1E" w14:textId="77777777" w:rsidR="00AA10EA" w:rsidRPr="00720A7D" w:rsidRDefault="00AA10EA" w:rsidP="00F8000B">
      <w:pPr>
        <w:pStyle w:val="UNIDAVISEOPRIMRIA"/>
        <w:jc w:val="center"/>
        <w:rPr>
          <w:lang w:val="pt-BR"/>
        </w:rPr>
      </w:pPr>
    </w:p>
    <w:p w14:paraId="7FD8AE79" w14:textId="77777777" w:rsidR="00AA10EA" w:rsidRPr="00720A7D" w:rsidRDefault="00AA10EA" w:rsidP="00F8000B">
      <w:pPr>
        <w:pStyle w:val="UNIDAVISEOPRIMRIA"/>
        <w:jc w:val="center"/>
        <w:rPr>
          <w:lang w:val="pt-BR"/>
        </w:rPr>
      </w:pPr>
    </w:p>
    <w:p w14:paraId="36AA6785" w14:textId="77777777" w:rsidR="00AA10EA" w:rsidRPr="00720A7D" w:rsidRDefault="00AA10EA" w:rsidP="00F8000B">
      <w:pPr>
        <w:pStyle w:val="UNIDAVISEOPRIMRIA"/>
        <w:jc w:val="center"/>
        <w:rPr>
          <w:lang w:val="pt-BR"/>
        </w:rPr>
      </w:pPr>
    </w:p>
    <w:p w14:paraId="4252340E" w14:textId="77777777" w:rsidR="00AA10EA" w:rsidRPr="00720A7D" w:rsidRDefault="00AA10EA" w:rsidP="00F8000B">
      <w:pPr>
        <w:pStyle w:val="UNIDAVISEOPRIMRIA"/>
        <w:jc w:val="center"/>
        <w:rPr>
          <w:lang w:val="pt-BR"/>
        </w:rPr>
      </w:pPr>
    </w:p>
    <w:p w14:paraId="66A3D5A6" w14:textId="5A595064" w:rsidR="00AA10EA" w:rsidRPr="00720A7D" w:rsidRDefault="005C60EB" w:rsidP="00F8000B">
      <w:pPr>
        <w:pStyle w:val="UNIDAVISEOPRIMRIA"/>
        <w:jc w:val="center"/>
        <w:rPr>
          <w:lang w:val="pt-BR"/>
        </w:rPr>
      </w:pPr>
      <w:r w:rsidRPr="00B8782F">
        <w:rPr>
          <w:noProof/>
          <w:lang w:val="pt-BR" w:eastAsia="pt-BR"/>
        </w:rPr>
        <mc:AlternateContent>
          <mc:Choice Requires="wps">
            <w:drawing>
              <wp:anchor distT="45720" distB="45720" distL="114300" distR="114300" simplePos="0" relativeHeight="251693056" behindDoc="0" locked="0" layoutInCell="1" allowOverlap="1" wp14:anchorId="2F6E0078" wp14:editId="68E28362">
                <wp:simplePos x="0" y="0"/>
                <wp:positionH relativeFrom="margin">
                  <wp:posOffset>5349240</wp:posOffset>
                </wp:positionH>
                <wp:positionV relativeFrom="paragraph">
                  <wp:posOffset>-651510</wp:posOffset>
                </wp:positionV>
                <wp:extent cx="390525" cy="219075"/>
                <wp:effectExtent l="0" t="0" r="9525" b="9525"/>
                <wp:wrapNone/>
                <wp:docPr id="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19075"/>
                        </a:xfrm>
                        <a:prstGeom prst="rect">
                          <a:avLst/>
                        </a:prstGeom>
                        <a:solidFill>
                          <a:srgbClr val="FFFFFF"/>
                        </a:solidFill>
                        <a:ln w="9525">
                          <a:noFill/>
                          <a:miter lim="800000"/>
                          <a:headEnd/>
                          <a:tailEnd/>
                        </a:ln>
                      </wps:spPr>
                      <wps:txbx>
                        <w:txbxContent>
                          <w:p w14:paraId="6CD7D339" w14:textId="77777777" w:rsidR="00DF47F4" w:rsidRDefault="00DF47F4" w:rsidP="005C60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E0078" id="_x0000_s1034" type="#_x0000_t202" style="position:absolute;left:0;text-align:left;margin-left:421.2pt;margin-top:-51.3pt;width:30.75pt;height:1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" stroked="f">
                <v:textbox>
                  <w:txbxContent>
                    <w:p w14:paraId="6CD7D339" w14:textId="77777777" w:rsidR="00DF47F4" w:rsidRDefault="00DF47F4" w:rsidP="005C60EB"/>
                  </w:txbxContent>
                </v:textbox>
                <w10:wrap anchorx="margin"/>
              </v:shape>
            </w:pict>
          </mc:Fallback>
        </mc:AlternateContent>
      </w:r>
    </w:p>
    <w:p w14:paraId="036CFA5F" w14:textId="6AA40855" w:rsidR="00AA10EA" w:rsidRPr="00720A7D" w:rsidRDefault="009F49D8" w:rsidP="00F1592F">
      <w:pPr>
        <w:pStyle w:val="UNIDAVISEOPRIMRIA"/>
        <w:rPr>
          <w:lang w:val="pt-BR"/>
        </w:rPr>
      </w:pPr>
      <w:r w:rsidRPr="00B8782F">
        <w:rPr>
          <w:noProof/>
          <w:lang w:val="pt-BR" w:eastAsia="pt-BR"/>
        </w:rPr>
        <w:lastRenderedPageBreak/>
        <mc:AlternateContent>
          <mc:Choice Requires="wps">
            <w:drawing>
              <wp:anchor distT="45720" distB="45720" distL="114300" distR="114300" simplePos="0" relativeHeight="251700224" behindDoc="0" locked="0" layoutInCell="1" allowOverlap="1" wp14:anchorId="31E0A0A9" wp14:editId="3762EE9A">
                <wp:simplePos x="0" y="0"/>
                <wp:positionH relativeFrom="margin">
                  <wp:posOffset>5355171</wp:posOffset>
                </wp:positionH>
                <wp:positionV relativeFrom="paragraph">
                  <wp:posOffset>-628291</wp:posOffset>
                </wp:positionV>
                <wp:extent cx="327803" cy="310551"/>
                <wp:effectExtent l="0" t="0" r="0" b="0"/>
                <wp:wrapNone/>
                <wp:docPr id="1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03" cy="310551"/>
                        </a:xfrm>
                        <a:prstGeom prst="rect">
                          <a:avLst/>
                        </a:prstGeom>
                        <a:solidFill>
                          <a:srgbClr val="FFFFFF"/>
                        </a:solidFill>
                        <a:ln w="9525">
                          <a:noFill/>
                          <a:miter lim="800000"/>
                          <a:headEnd/>
                          <a:tailEnd/>
                        </a:ln>
                      </wps:spPr>
                      <wps:txbx>
                        <w:txbxContent>
                          <w:p w14:paraId="05332F1D" w14:textId="77777777" w:rsidR="00DF47F4" w:rsidRDefault="00DF47F4" w:rsidP="009F49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0A0A9" id="_x0000_s1035" type="#_x0000_t202" style="position:absolute;margin-left:421.65pt;margin-top:-49.45pt;width:25.8pt;height:24.4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" stroked="f">
                <v:textbox>
                  <w:txbxContent>
                    <w:p w14:paraId="05332F1D" w14:textId="77777777" w:rsidR="00DF47F4" w:rsidRDefault="00DF47F4" w:rsidP="009F49D8"/>
                  </w:txbxContent>
                </v:textbox>
                <w10:wrap anchorx="margin"/>
              </v:shape>
            </w:pict>
          </mc:Fallback>
        </mc:AlternateContent>
      </w:r>
    </w:p>
    <w:p w14:paraId="06CDB6D4" w14:textId="77777777" w:rsidR="00AA10EA" w:rsidRPr="00720A7D" w:rsidRDefault="00AA10EA" w:rsidP="00F8000B">
      <w:pPr>
        <w:pStyle w:val="UNIDAVISEOPRIMRIA"/>
        <w:jc w:val="center"/>
        <w:rPr>
          <w:lang w:val="pt-BR"/>
        </w:rPr>
      </w:pPr>
    </w:p>
    <w:p w14:paraId="1CEB8BDB" w14:textId="77777777" w:rsidR="00AA10EA" w:rsidRPr="00720A7D" w:rsidRDefault="00B8782F" w:rsidP="00F8000B">
      <w:pPr>
        <w:pStyle w:val="UNIDAVISEOPRIMRIA"/>
        <w:jc w:val="center"/>
        <w:rPr>
          <w:lang w:val="pt-BR"/>
        </w:rPr>
      </w:pPr>
      <w:r w:rsidRPr="00B8782F">
        <w:rPr>
          <w:noProof/>
          <w:lang w:val="pt-BR" w:eastAsia="pt-BR"/>
        </w:rPr>
        <mc:AlternateContent>
          <mc:Choice Requires="wps">
            <w:drawing>
              <wp:anchor distT="45720" distB="45720" distL="114300" distR="114300" simplePos="0" relativeHeight="251671552" behindDoc="0" locked="0" layoutInCell="1" allowOverlap="1" wp14:anchorId="53D117E3" wp14:editId="178E5302">
                <wp:simplePos x="0" y="0"/>
                <wp:positionH relativeFrom="margin">
                  <wp:align>right</wp:align>
                </wp:positionH>
                <wp:positionV relativeFrom="paragraph">
                  <wp:posOffset>-657860</wp:posOffset>
                </wp:positionV>
                <wp:extent cx="219075" cy="200025"/>
                <wp:effectExtent l="0" t="0" r="9525" b="9525"/>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noFill/>
                          <a:miter lim="800000"/>
                          <a:headEnd/>
                          <a:tailEnd/>
                        </a:ln>
                      </wps:spPr>
                      <wps:txbx>
                        <w:txbxContent>
                          <w:p w14:paraId="18DC0991" w14:textId="77777777" w:rsidR="00DF47F4" w:rsidRDefault="00DF47F4" w:rsidP="00B87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117E3" id="_x0000_s1036" type="#_x0000_t202" style="position:absolute;left:0;text-align:left;margin-left:-33.95pt;margin-top:-51.8pt;width:17.25pt;height:15.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" stroked="f">
                <v:textbox>
                  <w:txbxContent>
                    <w:p w14:paraId="18DC0991" w14:textId="77777777" w:rsidR="00DF47F4" w:rsidRDefault="00DF47F4" w:rsidP="00B8782F"/>
                  </w:txbxContent>
                </v:textbox>
                <w10:wrap anchorx="margin"/>
              </v:shape>
            </w:pict>
          </mc:Fallback>
        </mc:AlternateContent>
      </w:r>
      <w:r w:rsidR="00AA10EA" w:rsidRPr="00720A7D">
        <w:rPr>
          <w:lang w:val="pt-BR"/>
        </w:rPr>
        <w:t>RESUMO</w:t>
      </w:r>
    </w:p>
    <w:p w14:paraId="136103D0" w14:textId="77777777" w:rsidR="00AA10EA" w:rsidRPr="00B33EA9" w:rsidRDefault="00AA10EA" w:rsidP="00F8000B"/>
    <w:p w14:paraId="0BDBFF55" w14:textId="77777777" w:rsidR="00AA10EA" w:rsidRPr="00B33EA9" w:rsidRDefault="00AA10EA" w:rsidP="00F8000B"/>
    <w:p w14:paraId="15CED362" w14:textId="65963D95" w:rsidR="008C4AB3" w:rsidRDefault="00C92B06" w:rsidP="009D3C62">
      <w:pPr>
        <w:pStyle w:val="UnidaviTexto-Espao15"/>
        <w:ind w:firstLine="0"/>
      </w:pPr>
      <w:r>
        <w:t>A gestão municipal é algo muito importante e voltada de princípios orçamentários que norteiam o equilíbrio financeiro das contas públicas. Tendo em vista o cumprimento da</w:t>
      </w:r>
      <w:r w:rsidR="00AF6931">
        <w:t>s</w:t>
      </w:r>
      <w:r>
        <w:t xml:space="preserve"> disposiç</w:t>
      </w:r>
      <w:r w:rsidR="00AF6931">
        <w:t>ões legais</w:t>
      </w:r>
      <w:r w:rsidR="00B55FBE">
        <w:t xml:space="preserve"> envolvidas</w:t>
      </w:r>
      <w:r>
        <w:t>, o objetivo do presente trabalho foi examinar o processo licitatório do município de Taió no período de 2017 a 2020.</w:t>
      </w:r>
      <w:r w:rsidR="00AF6931">
        <w:t xml:space="preserve"> Apontando quais as modalidades de licitação </w:t>
      </w:r>
      <w:r w:rsidR="00882ED4">
        <w:t xml:space="preserve">que foram </w:t>
      </w:r>
      <w:r w:rsidR="00AF6931">
        <w:t>mais utilizadas</w:t>
      </w:r>
      <w:r w:rsidR="00882ED4">
        <w:t xml:space="preserve"> pela gestão municipal</w:t>
      </w:r>
      <w:r w:rsidR="00AF6931">
        <w:t xml:space="preserve">, além de demonstrar os valores que foram licitados </w:t>
      </w:r>
      <w:r w:rsidR="00882ED4">
        <w:t>em cada ano referente ao</w:t>
      </w:r>
      <w:r w:rsidR="00AF6931">
        <w:t xml:space="preserve"> período estudado. Foi também examinada a quantidade de participações de empresas que são pertencentes ao município de Taió, a quantidade de participações de empresas que fazem parte do Alto Vale do Itajaí e a quantidade de participações de empresas que são de fora do Alto Vale do Itajaí, </w:t>
      </w:r>
      <w:r w:rsidR="00882ED4">
        <w:t>inclusive demonstrando</w:t>
      </w:r>
      <w:r w:rsidR="00AF6931">
        <w:t xml:space="preserve"> os valores que cada região </w:t>
      </w:r>
      <w:r w:rsidR="00882ED4">
        <w:t>venceu nas licitações entre 2017 a 2020. Examinou-se também a quantidade de participações vencedoras nesse período, que foram de empresas enquadradas como ME – Microempresa e EPP – Empresa de Pequeno Porte, que usufruíram do benefício da Lei Complementar nº 123/06, onde empresas enquadradas nessas duas categorias possuem uma vantagem de 5% a 10% em relação às empresas de porte maior.</w:t>
      </w:r>
      <w:r w:rsidR="00413F81">
        <w:t xml:space="preserve"> O estudo buscou ainda, apontar algumas mudanças a serem aplicadas pelo município por causa da nova lei de licitações 14.133/2021. A conclusão foi que a modalidade de licitação mais utilizada nos quatro anos examinados foi a modalidade pregão presencial, que em 2017 representou 65% do total das licitações realizadas, em 2018 representou 75% e em 2019 e 2020 representou 68% do total.</w:t>
      </w:r>
      <w:r w:rsidR="00783CCD">
        <w:t xml:space="preserve"> Foi possível identificar os valores </w:t>
      </w:r>
      <w:r w:rsidR="00B55FBE">
        <w:t>licitados nos quatro anos, e</w:t>
      </w:r>
      <w:r w:rsidR="00783CCD">
        <w:t xml:space="preserve"> isso mostrou que</w:t>
      </w:r>
      <w:r w:rsidR="00B55FBE">
        <w:t xml:space="preserve"> a cada ano que passou</w:t>
      </w:r>
      <w:r w:rsidR="00783CCD">
        <w:t xml:space="preserve">, a gestão municipal buscou investimentos crescentes e constantes. As licitações homologadas </w:t>
      </w:r>
      <w:r w:rsidR="00B55FBE">
        <w:t xml:space="preserve">realizadas </w:t>
      </w:r>
      <w:r w:rsidR="00783CCD">
        <w:t xml:space="preserve">no período em questão, somaram </w:t>
      </w:r>
      <w:r w:rsidR="00B55FBE">
        <w:t xml:space="preserve">um total de 1195, </w:t>
      </w:r>
      <w:r w:rsidR="00783CCD">
        <w:t>das quais 850 foram vencedoras no processo licitatório do munic</w:t>
      </w:r>
      <w:r w:rsidR="008C4AB3">
        <w:t xml:space="preserve">ípio e que </w:t>
      </w:r>
      <w:r w:rsidR="00B55FBE">
        <w:t xml:space="preserve">dessas, </w:t>
      </w:r>
      <w:r w:rsidR="008C4AB3">
        <w:t xml:space="preserve">617 </w:t>
      </w:r>
      <w:r w:rsidR="005D207C">
        <w:t>foram</w:t>
      </w:r>
      <w:r w:rsidR="008C4AB3">
        <w:t xml:space="preserve"> de empresas enquadradas como microempresas e empresas de pequeno porte, indicando que </w:t>
      </w:r>
      <w:r w:rsidR="005D207C">
        <w:t>esse porte é</w:t>
      </w:r>
      <w:r w:rsidR="008C4AB3">
        <w:t xml:space="preserve"> a maioria em nossa região.</w:t>
      </w:r>
      <w:r w:rsidR="005D207C">
        <w:t xml:space="preserve"> Constatou-se que mesmo a quantidade de</w:t>
      </w:r>
      <w:r w:rsidR="008C4AB3">
        <w:t xml:space="preserve"> participações sendo maior de empresas de fora do Alto Vale do Itajaí em alguns períodos</w:t>
      </w:r>
      <w:r w:rsidR="005D207C">
        <w:t>, ainda assim no quesito valor,</w:t>
      </w:r>
      <w:r w:rsidR="008C4AB3">
        <w:t xml:space="preserve"> o município ficou com a maior fatia em três dos anos analisados, exceto em 2019 onde quem ficou com o valor maior licitado, foram as participações de empresas do Alto Vale do Itajaí.</w:t>
      </w:r>
    </w:p>
    <w:p w14:paraId="44E5B2F0" w14:textId="71C3CCBA" w:rsidR="00AA10EA" w:rsidRPr="00B33EA9" w:rsidRDefault="00AA10EA" w:rsidP="00882ED4">
      <w:pPr>
        <w:pStyle w:val="UnidaviTexto-Espao15"/>
        <w:ind w:firstLine="0"/>
      </w:pPr>
    </w:p>
    <w:p w14:paraId="3B0E849E" w14:textId="7F8F19D6" w:rsidR="00AA10EA" w:rsidRPr="00B33EA9" w:rsidRDefault="00AA10EA" w:rsidP="00F8000B">
      <w:r w:rsidRPr="00E34E36">
        <w:rPr>
          <w:b/>
        </w:rPr>
        <w:t>Palavras-Chave:</w:t>
      </w:r>
      <w:r w:rsidRPr="00B33EA9">
        <w:t xml:space="preserve"> </w:t>
      </w:r>
      <w:r w:rsidR="009D3C62">
        <w:t>Município de Taió; L</w:t>
      </w:r>
      <w:r w:rsidR="008C4AB3">
        <w:t>icitações</w:t>
      </w:r>
      <w:r w:rsidR="009D3C62">
        <w:t>;</w:t>
      </w:r>
      <w:r w:rsidR="008C4AB3">
        <w:t xml:space="preserve"> Alto Vale do Itajaí</w:t>
      </w:r>
    </w:p>
    <w:p w14:paraId="07723FA6" w14:textId="36A20711" w:rsidR="00AA10EA" w:rsidRPr="005D207C" w:rsidRDefault="00AA10EA" w:rsidP="005D207C">
      <w:pPr>
        <w:pStyle w:val="Ttulospr-textuais"/>
      </w:pPr>
      <w:r w:rsidRPr="00720A7D">
        <w:br w:type="page"/>
      </w:r>
      <w:r w:rsidR="00B8782F" w:rsidRPr="00B8782F">
        <w:rPr>
          <w:noProof/>
        </w:rPr>
        <w:lastRenderedPageBreak/>
        <mc:AlternateContent>
          <mc:Choice Requires="wps">
            <w:drawing>
              <wp:anchor distT="45720" distB="45720" distL="114300" distR="114300" simplePos="0" relativeHeight="251673600" behindDoc="0" locked="0" layoutInCell="1" allowOverlap="1" wp14:anchorId="4A132AA6" wp14:editId="4146BEAF">
                <wp:simplePos x="0" y="0"/>
                <wp:positionH relativeFrom="margin">
                  <wp:align>right</wp:align>
                </wp:positionH>
                <wp:positionV relativeFrom="paragraph">
                  <wp:posOffset>-654170</wp:posOffset>
                </wp:positionV>
                <wp:extent cx="232913" cy="267419"/>
                <wp:effectExtent l="0" t="0" r="0" b="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 cy="267419"/>
                        </a:xfrm>
                        <a:prstGeom prst="rect">
                          <a:avLst/>
                        </a:prstGeom>
                        <a:solidFill>
                          <a:srgbClr val="FFFFFF"/>
                        </a:solidFill>
                        <a:ln w="9525">
                          <a:noFill/>
                          <a:miter lim="800000"/>
                          <a:headEnd/>
                          <a:tailEnd/>
                        </a:ln>
                      </wps:spPr>
                      <wps:txbx>
                        <w:txbxContent>
                          <w:p w14:paraId="4133F222" w14:textId="77777777" w:rsidR="00DF47F4" w:rsidRDefault="00DF47F4" w:rsidP="00B87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32AA6" id="_x0000_s1037" type="#_x0000_t202" style="position:absolute;left:0;text-align:left;margin-left:-32.85pt;margin-top:-51.5pt;width:18.35pt;height:21.0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" stroked="f">
                <v:textbox>
                  <w:txbxContent>
                    <w:p w14:paraId="4133F222" w14:textId="77777777" w:rsidR="00DF47F4" w:rsidRDefault="00DF47F4" w:rsidP="00B8782F"/>
                  </w:txbxContent>
                </v:textbox>
                <w10:wrap anchorx="margin"/>
              </v:shape>
            </w:pict>
          </mc:Fallback>
        </mc:AlternateContent>
      </w:r>
      <w:r w:rsidRPr="00720A7D">
        <w:t>LISTA DE</w:t>
      </w:r>
      <w:r w:rsidR="001E5162">
        <w:t xml:space="preserve"> quadros</w:t>
      </w:r>
    </w:p>
    <w:p w14:paraId="13779771" w14:textId="03258E40" w:rsidR="00101427" w:rsidRDefault="005D207C" w:rsidP="00101427">
      <w:pPr>
        <w:pStyle w:val="Ttulospr-textuais"/>
        <w:tabs>
          <w:tab w:val="left" w:leader="dot" w:pos="8647"/>
        </w:tabs>
        <w:spacing w:before="120" w:after="120" w:line="360" w:lineRule="auto"/>
        <w:jc w:val="left"/>
        <w:rPr>
          <w:b w:val="0"/>
          <w:caps w:val="0"/>
        </w:rPr>
      </w:pPr>
      <w:r>
        <w:rPr>
          <w:b w:val="0"/>
          <w:caps w:val="0"/>
        </w:rPr>
        <w:t>Quadro 1 -</w:t>
      </w:r>
      <w:r w:rsidR="00101427">
        <w:rPr>
          <w:b w:val="0"/>
          <w:caps w:val="0"/>
        </w:rPr>
        <w:t xml:space="preserve"> Definições dos termos (obra, serviço, compra e alienações) ...................</w:t>
      </w:r>
      <w:r>
        <w:rPr>
          <w:b w:val="0"/>
          <w:caps w:val="0"/>
        </w:rPr>
        <w:t>.</w:t>
      </w:r>
      <w:r w:rsidR="009F362D">
        <w:rPr>
          <w:b w:val="0"/>
          <w:caps w:val="0"/>
        </w:rPr>
        <w:t>........19</w:t>
      </w:r>
    </w:p>
    <w:p w14:paraId="6DF974E8" w14:textId="2CAAE20F" w:rsidR="00101427" w:rsidRDefault="005D207C" w:rsidP="00101427">
      <w:pPr>
        <w:pStyle w:val="Ttulospr-textuais"/>
        <w:tabs>
          <w:tab w:val="left" w:leader="dot" w:pos="8647"/>
        </w:tabs>
        <w:spacing w:before="120" w:after="120" w:line="360" w:lineRule="auto"/>
        <w:jc w:val="left"/>
        <w:rPr>
          <w:b w:val="0"/>
          <w:caps w:val="0"/>
        </w:rPr>
      </w:pPr>
      <w:r>
        <w:rPr>
          <w:b w:val="0"/>
          <w:caps w:val="0"/>
        </w:rPr>
        <w:t>Quadro 2 -</w:t>
      </w:r>
      <w:r w:rsidR="00101427">
        <w:rPr>
          <w:b w:val="0"/>
          <w:caps w:val="0"/>
        </w:rPr>
        <w:t xml:space="preserve"> Entidades Obrigadas a licitar ......................................</w:t>
      </w:r>
      <w:r>
        <w:rPr>
          <w:b w:val="0"/>
          <w:caps w:val="0"/>
        </w:rPr>
        <w:t>................................</w:t>
      </w:r>
      <w:r w:rsidR="009F362D">
        <w:rPr>
          <w:b w:val="0"/>
          <w:caps w:val="0"/>
        </w:rPr>
        <w:t>......20</w:t>
      </w:r>
    </w:p>
    <w:p w14:paraId="1606E497" w14:textId="284FE0A5" w:rsidR="00101427" w:rsidRDefault="005D207C" w:rsidP="00101427">
      <w:pPr>
        <w:pStyle w:val="Ttulospr-textuais"/>
        <w:tabs>
          <w:tab w:val="left" w:leader="dot" w:pos="8647"/>
        </w:tabs>
        <w:spacing w:before="120" w:after="120" w:line="360" w:lineRule="auto"/>
        <w:jc w:val="left"/>
        <w:rPr>
          <w:b w:val="0"/>
          <w:caps w:val="0"/>
        </w:rPr>
      </w:pPr>
      <w:r>
        <w:rPr>
          <w:b w:val="0"/>
          <w:caps w:val="0"/>
        </w:rPr>
        <w:t>Quadro 3 -</w:t>
      </w:r>
      <w:r w:rsidR="00101427">
        <w:rPr>
          <w:b w:val="0"/>
          <w:caps w:val="0"/>
        </w:rPr>
        <w:t xml:space="preserve"> Situações em que a modalidade concorrência é obrigatória</w:t>
      </w:r>
      <w:r w:rsidR="009F362D">
        <w:rPr>
          <w:b w:val="0"/>
          <w:caps w:val="0"/>
        </w:rPr>
        <w:t xml:space="preserve"> .............................26</w:t>
      </w:r>
    </w:p>
    <w:p w14:paraId="217C3585" w14:textId="250896FF" w:rsidR="00101427" w:rsidRDefault="005D207C" w:rsidP="00101427">
      <w:pPr>
        <w:pStyle w:val="Ttulospr-textuais"/>
        <w:tabs>
          <w:tab w:val="left" w:leader="dot" w:pos="8647"/>
        </w:tabs>
        <w:spacing w:before="120" w:after="120" w:line="360" w:lineRule="auto"/>
        <w:jc w:val="left"/>
        <w:rPr>
          <w:b w:val="0"/>
          <w:caps w:val="0"/>
        </w:rPr>
      </w:pPr>
      <w:r>
        <w:rPr>
          <w:b w:val="0"/>
          <w:caps w:val="0"/>
        </w:rPr>
        <w:t>Quadro 4 -</w:t>
      </w:r>
      <w:r w:rsidR="00101427">
        <w:rPr>
          <w:b w:val="0"/>
          <w:caps w:val="0"/>
        </w:rPr>
        <w:t xml:space="preserve"> Requisitos da modalidade de licitação concorrência ..........</w:t>
      </w:r>
      <w:r w:rsidR="009F362D">
        <w:rPr>
          <w:b w:val="0"/>
          <w:caps w:val="0"/>
        </w:rPr>
        <w:t>..............................28</w:t>
      </w:r>
    </w:p>
    <w:p w14:paraId="351DFFCA" w14:textId="22D0326B" w:rsidR="00101427" w:rsidRDefault="005D207C" w:rsidP="005D207C">
      <w:pPr>
        <w:pStyle w:val="Ttulospr-textuais"/>
        <w:tabs>
          <w:tab w:val="left" w:leader="dot" w:pos="8647"/>
        </w:tabs>
        <w:spacing w:before="120" w:after="120" w:line="360" w:lineRule="auto"/>
        <w:ind w:right="-142"/>
        <w:jc w:val="left"/>
        <w:rPr>
          <w:b w:val="0"/>
          <w:caps w:val="0"/>
        </w:rPr>
      </w:pPr>
      <w:r>
        <w:rPr>
          <w:b w:val="0"/>
          <w:caps w:val="0"/>
        </w:rPr>
        <w:t>Quadro 5 -</w:t>
      </w:r>
      <w:r w:rsidR="00101427">
        <w:rPr>
          <w:b w:val="0"/>
          <w:caps w:val="0"/>
        </w:rPr>
        <w:t xml:space="preserve"> Situações em que se aplica a modalidade tomada de preço</w:t>
      </w:r>
      <w:r w:rsidR="009F362D">
        <w:rPr>
          <w:b w:val="0"/>
          <w:caps w:val="0"/>
        </w:rPr>
        <w:t>s ............................29</w:t>
      </w:r>
    </w:p>
    <w:p w14:paraId="5AEAC55E" w14:textId="37D46283" w:rsidR="00101427" w:rsidRDefault="00101427" w:rsidP="005D207C">
      <w:pPr>
        <w:pStyle w:val="Ttulospr-textuais"/>
        <w:tabs>
          <w:tab w:val="left" w:leader="dot" w:pos="8647"/>
        </w:tabs>
        <w:spacing w:before="120" w:after="120" w:line="360" w:lineRule="auto"/>
        <w:jc w:val="left"/>
        <w:rPr>
          <w:b w:val="0"/>
          <w:caps w:val="0"/>
        </w:rPr>
      </w:pPr>
      <w:r>
        <w:rPr>
          <w:b w:val="0"/>
          <w:caps w:val="0"/>
        </w:rPr>
        <w:t>Quadro 6 - Situações em que se aplica a modalidade convite ......</w:t>
      </w:r>
      <w:r w:rsidR="005D207C">
        <w:rPr>
          <w:b w:val="0"/>
          <w:caps w:val="0"/>
        </w:rPr>
        <w:t>.....................</w:t>
      </w:r>
      <w:r w:rsidR="00A96D00">
        <w:rPr>
          <w:b w:val="0"/>
          <w:caps w:val="0"/>
        </w:rPr>
        <w:t>.</w:t>
      </w:r>
      <w:r w:rsidR="005D207C">
        <w:rPr>
          <w:b w:val="0"/>
          <w:caps w:val="0"/>
        </w:rPr>
        <w:t>..........</w:t>
      </w:r>
      <w:r w:rsidR="009F362D">
        <w:rPr>
          <w:b w:val="0"/>
          <w:caps w:val="0"/>
        </w:rPr>
        <w:t>.......31</w:t>
      </w:r>
    </w:p>
    <w:p w14:paraId="7BA290F2" w14:textId="730BC847" w:rsidR="00101427" w:rsidRDefault="005D207C" w:rsidP="00101427">
      <w:pPr>
        <w:pStyle w:val="Ttulospr-textuais"/>
        <w:tabs>
          <w:tab w:val="left" w:leader="dot" w:pos="8647"/>
        </w:tabs>
        <w:spacing w:before="120" w:after="120" w:line="360" w:lineRule="auto"/>
        <w:jc w:val="left"/>
        <w:rPr>
          <w:b w:val="0"/>
          <w:caps w:val="0"/>
        </w:rPr>
      </w:pPr>
      <w:r>
        <w:rPr>
          <w:b w:val="0"/>
          <w:caps w:val="0"/>
        </w:rPr>
        <w:t>Quadro 7 -</w:t>
      </w:r>
      <w:r w:rsidR="00101427">
        <w:rPr>
          <w:b w:val="0"/>
          <w:caps w:val="0"/>
        </w:rPr>
        <w:t xml:space="preserve"> Situações em que </w:t>
      </w:r>
      <w:r w:rsidR="00F03AC1">
        <w:rPr>
          <w:b w:val="0"/>
          <w:caps w:val="0"/>
        </w:rPr>
        <w:t>se aplica a modalidade leilão .................</w:t>
      </w:r>
      <w:r w:rsidR="009F362D">
        <w:rPr>
          <w:b w:val="0"/>
          <w:caps w:val="0"/>
        </w:rPr>
        <w:t>..............................33</w:t>
      </w:r>
    </w:p>
    <w:p w14:paraId="269F800A" w14:textId="11E038A3" w:rsidR="00101427" w:rsidRDefault="00101427" w:rsidP="00101427">
      <w:pPr>
        <w:pStyle w:val="Ttulospr-textuais"/>
        <w:tabs>
          <w:tab w:val="left" w:leader="dot" w:pos="8647"/>
        </w:tabs>
        <w:spacing w:before="120" w:after="120" w:line="360" w:lineRule="auto"/>
        <w:jc w:val="left"/>
        <w:rPr>
          <w:b w:val="0"/>
          <w:caps w:val="0"/>
        </w:rPr>
      </w:pPr>
      <w:r>
        <w:rPr>
          <w:b w:val="0"/>
          <w:caps w:val="0"/>
        </w:rPr>
        <w:t xml:space="preserve">Quadro 8 </w:t>
      </w:r>
      <w:r w:rsidR="005D207C">
        <w:rPr>
          <w:b w:val="0"/>
          <w:caps w:val="0"/>
        </w:rPr>
        <w:t>-</w:t>
      </w:r>
      <w:r>
        <w:rPr>
          <w:b w:val="0"/>
          <w:caps w:val="0"/>
        </w:rPr>
        <w:t xml:space="preserve"> </w:t>
      </w:r>
      <w:r w:rsidR="00F03AC1">
        <w:rPr>
          <w:b w:val="0"/>
          <w:caps w:val="0"/>
        </w:rPr>
        <w:t>Exigências da fase interna da modalidade pregão .....................................</w:t>
      </w:r>
      <w:r w:rsidR="009F362D">
        <w:rPr>
          <w:b w:val="0"/>
          <w:caps w:val="0"/>
        </w:rPr>
        <w:t>.......35</w:t>
      </w:r>
    </w:p>
    <w:p w14:paraId="4FFFB74E" w14:textId="09E000EB" w:rsidR="00101427" w:rsidRDefault="005D207C" w:rsidP="00101427">
      <w:pPr>
        <w:pStyle w:val="Ttulospr-textuais"/>
        <w:tabs>
          <w:tab w:val="left" w:leader="dot" w:pos="8647"/>
        </w:tabs>
        <w:spacing w:before="120" w:after="120" w:line="360" w:lineRule="auto"/>
        <w:jc w:val="left"/>
        <w:rPr>
          <w:b w:val="0"/>
          <w:caps w:val="0"/>
        </w:rPr>
      </w:pPr>
      <w:r>
        <w:rPr>
          <w:b w:val="0"/>
          <w:caps w:val="0"/>
        </w:rPr>
        <w:t>Quadro 9 -</w:t>
      </w:r>
      <w:r w:rsidR="00F03AC1">
        <w:rPr>
          <w:b w:val="0"/>
          <w:caps w:val="0"/>
        </w:rPr>
        <w:t xml:space="preserve"> Tipos de licitação conceitos .......................................................................</w:t>
      </w:r>
      <w:r>
        <w:rPr>
          <w:b w:val="0"/>
          <w:caps w:val="0"/>
        </w:rPr>
        <w:t>.</w:t>
      </w:r>
      <w:r w:rsidR="009F362D">
        <w:rPr>
          <w:b w:val="0"/>
          <w:caps w:val="0"/>
        </w:rPr>
        <w:t>......35</w:t>
      </w:r>
    </w:p>
    <w:p w14:paraId="2028039B" w14:textId="375DCC8F" w:rsidR="00101427" w:rsidRDefault="005D207C" w:rsidP="00101427">
      <w:pPr>
        <w:pStyle w:val="Ttulospr-textuais"/>
        <w:tabs>
          <w:tab w:val="left" w:leader="dot" w:pos="8647"/>
        </w:tabs>
        <w:spacing w:before="120" w:after="120" w:line="360" w:lineRule="auto"/>
        <w:jc w:val="left"/>
        <w:rPr>
          <w:b w:val="0"/>
          <w:caps w:val="0"/>
        </w:rPr>
      </w:pPr>
      <w:r>
        <w:rPr>
          <w:b w:val="0"/>
          <w:caps w:val="0"/>
        </w:rPr>
        <w:t>Quadro 10 -</w:t>
      </w:r>
      <w:r w:rsidR="00101427">
        <w:rPr>
          <w:b w:val="0"/>
          <w:caps w:val="0"/>
        </w:rPr>
        <w:t xml:space="preserve"> Prazos para publicidade da lici</w:t>
      </w:r>
      <w:r w:rsidR="00F03AC1">
        <w:rPr>
          <w:b w:val="0"/>
          <w:caps w:val="0"/>
        </w:rPr>
        <w:t>tação .........................................................</w:t>
      </w:r>
      <w:r>
        <w:rPr>
          <w:b w:val="0"/>
          <w:caps w:val="0"/>
        </w:rPr>
        <w:t>.</w:t>
      </w:r>
      <w:r w:rsidR="009F362D">
        <w:rPr>
          <w:b w:val="0"/>
          <w:caps w:val="0"/>
        </w:rPr>
        <w:t>.....35</w:t>
      </w:r>
    </w:p>
    <w:p w14:paraId="3A1F03BC" w14:textId="4766722F" w:rsidR="00101427" w:rsidRDefault="00101427" w:rsidP="00101427">
      <w:pPr>
        <w:pStyle w:val="Ttulospr-textuais"/>
        <w:tabs>
          <w:tab w:val="left" w:leader="dot" w:pos="8647"/>
        </w:tabs>
        <w:spacing w:before="120" w:after="120" w:line="360" w:lineRule="auto"/>
        <w:jc w:val="left"/>
        <w:rPr>
          <w:b w:val="0"/>
          <w:caps w:val="0"/>
        </w:rPr>
      </w:pPr>
      <w:r>
        <w:rPr>
          <w:b w:val="0"/>
          <w:caps w:val="0"/>
        </w:rPr>
        <w:t>Quadro 11 - Casos em que existe a</w:t>
      </w:r>
      <w:r w:rsidR="00F03AC1">
        <w:rPr>
          <w:b w:val="0"/>
          <w:caps w:val="0"/>
        </w:rPr>
        <w:t xml:space="preserve"> inexigibilidade de licitação ....................................</w:t>
      </w:r>
      <w:r w:rsidR="009F362D">
        <w:rPr>
          <w:b w:val="0"/>
          <w:caps w:val="0"/>
        </w:rPr>
        <w:t>.....36</w:t>
      </w:r>
    </w:p>
    <w:p w14:paraId="4F26D8A8" w14:textId="21035ACC" w:rsidR="00550AEE" w:rsidRDefault="00550AEE" w:rsidP="00550AEE">
      <w:pPr>
        <w:pStyle w:val="Ttulospr-textuais"/>
        <w:tabs>
          <w:tab w:val="left" w:leader="dot" w:pos="8647"/>
        </w:tabs>
        <w:spacing w:before="120" w:after="120" w:line="360" w:lineRule="auto"/>
        <w:jc w:val="left"/>
        <w:rPr>
          <w:b w:val="0"/>
          <w:caps w:val="0"/>
        </w:rPr>
      </w:pPr>
      <w:r>
        <w:rPr>
          <w:b w:val="0"/>
          <w:caps w:val="0"/>
        </w:rPr>
        <w:t>Quadro 12 – Municípios que compõe o Alto Vale do Itajaí .................</w:t>
      </w:r>
      <w:r w:rsidR="009F362D">
        <w:rPr>
          <w:b w:val="0"/>
          <w:caps w:val="0"/>
        </w:rPr>
        <w:t>..............................40</w:t>
      </w:r>
    </w:p>
    <w:p w14:paraId="60CC7F35" w14:textId="77777777" w:rsidR="00550AEE" w:rsidRDefault="00550AEE" w:rsidP="00101427">
      <w:pPr>
        <w:pStyle w:val="Ttulospr-textuais"/>
        <w:tabs>
          <w:tab w:val="left" w:leader="dot" w:pos="8647"/>
        </w:tabs>
        <w:spacing w:before="120" w:after="120" w:line="360" w:lineRule="auto"/>
        <w:jc w:val="left"/>
        <w:rPr>
          <w:b w:val="0"/>
          <w:caps w:val="0"/>
        </w:rPr>
      </w:pPr>
    </w:p>
    <w:p w14:paraId="7B2FE67E" w14:textId="77777777" w:rsidR="00AA10EA" w:rsidRDefault="00AA10EA" w:rsidP="00F8000B">
      <w:pPr>
        <w:pStyle w:val="Ttulospr-textuais"/>
        <w:tabs>
          <w:tab w:val="left" w:leader="dot" w:pos="8647"/>
        </w:tabs>
        <w:spacing w:before="120" w:after="120" w:line="360" w:lineRule="auto"/>
        <w:jc w:val="left"/>
        <w:rPr>
          <w:b w:val="0"/>
          <w:caps w:val="0"/>
        </w:rPr>
      </w:pPr>
    </w:p>
    <w:p w14:paraId="77AA58F8" w14:textId="77777777" w:rsidR="00AA10EA" w:rsidRDefault="00AA10EA" w:rsidP="00F8000B">
      <w:pPr>
        <w:pStyle w:val="Ttulospr-textuais"/>
        <w:tabs>
          <w:tab w:val="left" w:leader="dot" w:pos="8647"/>
        </w:tabs>
        <w:spacing w:before="120" w:after="120" w:line="360" w:lineRule="auto"/>
        <w:jc w:val="left"/>
        <w:rPr>
          <w:b w:val="0"/>
          <w:caps w:val="0"/>
        </w:rPr>
      </w:pPr>
    </w:p>
    <w:p w14:paraId="5D242332" w14:textId="77777777" w:rsidR="00AA10EA" w:rsidRDefault="00AA10EA" w:rsidP="00F8000B">
      <w:pPr>
        <w:pStyle w:val="Ttulospr-textuais"/>
        <w:tabs>
          <w:tab w:val="left" w:leader="dot" w:pos="8647"/>
        </w:tabs>
        <w:spacing w:before="120" w:after="120" w:line="360" w:lineRule="auto"/>
        <w:jc w:val="left"/>
        <w:rPr>
          <w:b w:val="0"/>
          <w:caps w:val="0"/>
        </w:rPr>
      </w:pPr>
    </w:p>
    <w:p w14:paraId="4E670DCE" w14:textId="77777777" w:rsidR="00AA10EA" w:rsidRPr="00720A7D" w:rsidRDefault="00AA10EA" w:rsidP="00F8000B">
      <w:pPr>
        <w:pStyle w:val="Ttulospr-textuais"/>
        <w:tabs>
          <w:tab w:val="left" w:leader="dot" w:pos="8647"/>
        </w:tabs>
        <w:spacing w:before="120" w:after="120" w:line="360" w:lineRule="auto"/>
        <w:jc w:val="left"/>
        <w:rPr>
          <w:b w:val="0"/>
        </w:rPr>
      </w:pPr>
    </w:p>
    <w:p w14:paraId="62896D1A" w14:textId="77777777" w:rsidR="00AA10EA" w:rsidRPr="00E76FE1" w:rsidRDefault="00AA10EA" w:rsidP="00F8000B"/>
    <w:p w14:paraId="4D2B7368" w14:textId="77777777" w:rsidR="00AA10EA" w:rsidRPr="00B33EA9" w:rsidRDefault="00AA10EA" w:rsidP="00F8000B"/>
    <w:p w14:paraId="16F74B61" w14:textId="3AE673A6" w:rsidR="00AA10EA" w:rsidRDefault="00AA10EA" w:rsidP="00F8000B">
      <w:pPr>
        <w:pStyle w:val="UNIDAVISEOPRIMRIA"/>
        <w:jc w:val="center"/>
        <w:rPr>
          <w:lang w:val="pt-BR"/>
        </w:rPr>
      </w:pPr>
      <w:r w:rsidRPr="00720A7D">
        <w:rPr>
          <w:lang w:val="pt-BR"/>
        </w:rPr>
        <w:br w:type="page"/>
      </w:r>
      <w:r w:rsidR="00B8782F" w:rsidRPr="00B8782F">
        <w:rPr>
          <w:noProof/>
          <w:lang w:val="pt-BR" w:eastAsia="pt-BR"/>
        </w:rPr>
        <w:lastRenderedPageBreak/>
        <mc:AlternateContent>
          <mc:Choice Requires="wps">
            <w:drawing>
              <wp:anchor distT="45720" distB="45720" distL="114300" distR="114300" simplePos="0" relativeHeight="251675648" behindDoc="0" locked="0" layoutInCell="1" allowOverlap="1" wp14:anchorId="3742BFAC" wp14:editId="16C008F2">
                <wp:simplePos x="0" y="0"/>
                <wp:positionH relativeFrom="margin">
                  <wp:align>right</wp:align>
                </wp:positionH>
                <wp:positionV relativeFrom="paragraph">
                  <wp:posOffset>-623570</wp:posOffset>
                </wp:positionV>
                <wp:extent cx="219075" cy="200025"/>
                <wp:effectExtent l="0" t="0" r="9525" b="9525"/>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noFill/>
                          <a:miter lim="800000"/>
                          <a:headEnd/>
                          <a:tailEnd/>
                        </a:ln>
                      </wps:spPr>
                      <wps:txbx>
                        <w:txbxContent>
                          <w:p w14:paraId="34541156" w14:textId="77777777" w:rsidR="00DF47F4" w:rsidRDefault="00DF47F4" w:rsidP="00B87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2BFAC" id="_x0000_s1038" type="#_x0000_t202" style="position:absolute;left:0;text-align:left;margin-left:-33.95pt;margin-top:-49.1pt;width:17.25pt;height:15.7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" stroked="f">
                <v:textbox>
                  <w:txbxContent>
                    <w:p w14:paraId="34541156" w14:textId="77777777" w:rsidR="00DF47F4" w:rsidRDefault="00DF47F4" w:rsidP="00B8782F"/>
                  </w:txbxContent>
                </v:textbox>
                <w10:wrap anchorx="margin"/>
              </v:shape>
            </w:pict>
          </mc:Fallback>
        </mc:AlternateContent>
      </w:r>
      <w:r w:rsidR="005D207C">
        <w:rPr>
          <w:lang w:val="pt-BR"/>
        </w:rPr>
        <w:t>LISTA DE tabelas</w:t>
      </w:r>
    </w:p>
    <w:p w14:paraId="28137F9D" w14:textId="77777777" w:rsidR="00AA10EA" w:rsidRDefault="00AA10EA" w:rsidP="00F8000B">
      <w:pPr>
        <w:pStyle w:val="UNIDAVISEOPRIMRIA"/>
        <w:jc w:val="center"/>
        <w:rPr>
          <w:lang w:val="pt-BR"/>
        </w:rPr>
      </w:pPr>
    </w:p>
    <w:p w14:paraId="0F13666E" w14:textId="77777777" w:rsidR="00AA10EA" w:rsidRDefault="00AA10EA" w:rsidP="00F8000B">
      <w:pPr>
        <w:pStyle w:val="Ttulospr-textuais"/>
        <w:tabs>
          <w:tab w:val="left" w:leader="dot" w:pos="8647"/>
        </w:tabs>
        <w:spacing w:before="120" w:after="120" w:line="360" w:lineRule="auto"/>
        <w:jc w:val="left"/>
        <w:rPr>
          <w:b w:val="0"/>
          <w:caps w:val="0"/>
        </w:rPr>
      </w:pPr>
    </w:p>
    <w:p w14:paraId="3F617587" w14:textId="27571160" w:rsidR="00F52174" w:rsidRDefault="00191385" w:rsidP="00F52174">
      <w:pPr>
        <w:pStyle w:val="Ttulospr-textuais"/>
        <w:tabs>
          <w:tab w:val="left" w:leader="dot" w:pos="8647"/>
        </w:tabs>
        <w:spacing w:before="120" w:after="120" w:line="360" w:lineRule="auto"/>
        <w:jc w:val="left"/>
        <w:rPr>
          <w:b w:val="0"/>
          <w:caps w:val="0"/>
        </w:rPr>
      </w:pPr>
      <w:r>
        <w:rPr>
          <w:b w:val="0"/>
          <w:caps w:val="0"/>
        </w:rPr>
        <w:t xml:space="preserve">Tabela </w:t>
      </w:r>
      <w:r w:rsidR="00F52174">
        <w:rPr>
          <w:b w:val="0"/>
          <w:caps w:val="0"/>
        </w:rPr>
        <w:t xml:space="preserve">1 </w:t>
      </w:r>
      <w:r w:rsidR="005C5A0F">
        <w:rPr>
          <w:b w:val="0"/>
          <w:caps w:val="0"/>
        </w:rPr>
        <w:t>-</w:t>
      </w:r>
      <w:r w:rsidR="00F52174">
        <w:rPr>
          <w:b w:val="0"/>
          <w:caps w:val="0"/>
        </w:rPr>
        <w:t xml:space="preserve"> </w:t>
      </w:r>
      <w:r w:rsidR="005C5A0F">
        <w:rPr>
          <w:b w:val="0"/>
          <w:caps w:val="0"/>
        </w:rPr>
        <w:t>Valor das licitações no ano 2017 ...............</w:t>
      </w:r>
      <w:r>
        <w:rPr>
          <w:b w:val="0"/>
          <w:caps w:val="0"/>
        </w:rPr>
        <w:t>..</w:t>
      </w:r>
      <w:r w:rsidR="005C5A0F">
        <w:rPr>
          <w:b w:val="0"/>
          <w:caps w:val="0"/>
        </w:rPr>
        <w:t>............</w:t>
      </w:r>
      <w:r w:rsidR="00F52174">
        <w:rPr>
          <w:b w:val="0"/>
          <w:caps w:val="0"/>
        </w:rPr>
        <w:t>.....................................</w:t>
      </w:r>
      <w:r w:rsidR="009F362D">
        <w:rPr>
          <w:b w:val="0"/>
          <w:caps w:val="0"/>
        </w:rPr>
        <w:t>.....41</w:t>
      </w:r>
    </w:p>
    <w:p w14:paraId="1918BBBF" w14:textId="178BD39D" w:rsidR="00EA177B" w:rsidRDefault="00191385" w:rsidP="00EA177B">
      <w:pPr>
        <w:pStyle w:val="Ttulospr-textuais"/>
        <w:tabs>
          <w:tab w:val="left" w:leader="dot" w:pos="8647"/>
        </w:tabs>
        <w:spacing w:before="120" w:after="120" w:line="360" w:lineRule="auto"/>
        <w:jc w:val="left"/>
        <w:rPr>
          <w:b w:val="0"/>
          <w:caps w:val="0"/>
        </w:rPr>
      </w:pPr>
      <w:r>
        <w:rPr>
          <w:b w:val="0"/>
          <w:caps w:val="0"/>
        </w:rPr>
        <w:t xml:space="preserve">Tabela </w:t>
      </w:r>
      <w:r w:rsidR="005C5A0F">
        <w:rPr>
          <w:b w:val="0"/>
          <w:caps w:val="0"/>
        </w:rPr>
        <w:t>2 - Descritivo das modalidades de licitação no ano 2017 .......</w:t>
      </w:r>
      <w:r w:rsidR="00EA177B">
        <w:rPr>
          <w:b w:val="0"/>
          <w:caps w:val="0"/>
        </w:rPr>
        <w:t>....................</w:t>
      </w:r>
      <w:r>
        <w:rPr>
          <w:b w:val="0"/>
          <w:caps w:val="0"/>
        </w:rPr>
        <w:t>..</w:t>
      </w:r>
      <w:r w:rsidR="00EA177B">
        <w:rPr>
          <w:b w:val="0"/>
          <w:caps w:val="0"/>
        </w:rPr>
        <w:t>.....</w:t>
      </w:r>
      <w:r w:rsidR="009F362D">
        <w:rPr>
          <w:b w:val="0"/>
          <w:caps w:val="0"/>
        </w:rPr>
        <w:t>.....42</w:t>
      </w:r>
    </w:p>
    <w:p w14:paraId="2FAF1497" w14:textId="08AC5018" w:rsidR="00EA177B" w:rsidRDefault="00191385" w:rsidP="00EA177B">
      <w:pPr>
        <w:pStyle w:val="Ttulospr-textuais"/>
        <w:tabs>
          <w:tab w:val="left" w:leader="dot" w:pos="8647"/>
        </w:tabs>
        <w:spacing w:before="120" w:after="120" w:line="360" w:lineRule="auto"/>
        <w:jc w:val="left"/>
        <w:rPr>
          <w:b w:val="0"/>
          <w:caps w:val="0"/>
        </w:rPr>
      </w:pPr>
      <w:r>
        <w:rPr>
          <w:b w:val="0"/>
          <w:caps w:val="0"/>
        </w:rPr>
        <w:t xml:space="preserve">Tabela </w:t>
      </w:r>
      <w:r w:rsidR="005C5A0F">
        <w:rPr>
          <w:b w:val="0"/>
          <w:caps w:val="0"/>
        </w:rPr>
        <w:t>3 - Empresas participantes / Empresas vencedoras no ano 2017 .....</w:t>
      </w:r>
      <w:r w:rsidR="00EA177B">
        <w:rPr>
          <w:b w:val="0"/>
          <w:caps w:val="0"/>
        </w:rPr>
        <w:t>.............</w:t>
      </w:r>
      <w:r>
        <w:rPr>
          <w:b w:val="0"/>
          <w:caps w:val="0"/>
        </w:rPr>
        <w:t>..</w:t>
      </w:r>
      <w:r w:rsidR="00EA177B">
        <w:rPr>
          <w:b w:val="0"/>
          <w:caps w:val="0"/>
        </w:rPr>
        <w:t>...</w:t>
      </w:r>
      <w:r w:rsidR="009F362D">
        <w:rPr>
          <w:b w:val="0"/>
          <w:caps w:val="0"/>
        </w:rPr>
        <w:t>.....43</w:t>
      </w:r>
    </w:p>
    <w:p w14:paraId="3D37D714" w14:textId="5D4D227C" w:rsidR="00EA177B" w:rsidRDefault="00191385" w:rsidP="00EA177B">
      <w:pPr>
        <w:pStyle w:val="Ttulospr-textuais"/>
        <w:tabs>
          <w:tab w:val="left" w:leader="dot" w:pos="8647"/>
        </w:tabs>
        <w:spacing w:before="120" w:after="120" w:line="360" w:lineRule="auto"/>
        <w:jc w:val="left"/>
        <w:rPr>
          <w:b w:val="0"/>
          <w:caps w:val="0"/>
        </w:rPr>
      </w:pPr>
      <w:r>
        <w:rPr>
          <w:b w:val="0"/>
          <w:caps w:val="0"/>
        </w:rPr>
        <w:t xml:space="preserve">Tabela </w:t>
      </w:r>
      <w:r w:rsidR="005C5A0F">
        <w:rPr>
          <w:b w:val="0"/>
          <w:caps w:val="0"/>
        </w:rPr>
        <w:t>4 - Valor das empresas vencedoras no ano 2017</w:t>
      </w:r>
      <w:r w:rsidR="00EA177B">
        <w:rPr>
          <w:b w:val="0"/>
          <w:caps w:val="0"/>
        </w:rPr>
        <w:t xml:space="preserve"> </w:t>
      </w:r>
      <w:r w:rsidR="005C5A0F">
        <w:rPr>
          <w:b w:val="0"/>
          <w:caps w:val="0"/>
        </w:rPr>
        <w:t>........</w:t>
      </w:r>
      <w:r w:rsidR="00EA177B">
        <w:rPr>
          <w:b w:val="0"/>
          <w:caps w:val="0"/>
        </w:rPr>
        <w:t>.....................................</w:t>
      </w:r>
      <w:r>
        <w:rPr>
          <w:b w:val="0"/>
          <w:caps w:val="0"/>
        </w:rPr>
        <w:t>...</w:t>
      </w:r>
      <w:r w:rsidR="009F362D">
        <w:rPr>
          <w:b w:val="0"/>
          <w:caps w:val="0"/>
        </w:rPr>
        <w:t>.....44</w:t>
      </w:r>
    </w:p>
    <w:p w14:paraId="25A44C7B" w14:textId="070687B6" w:rsidR="00EA177B" w:rsidRDefault="00191385" w:rsidP="00EA177B">
      <w:pPr>
        <w:pStyle w:val="Ttulospr-textuais"/>
        <w:tabs>
          <w:tab w:val="left" w:leader="dot" w:pos="8647"/>
        </w:tabs>
        <w:spacing w:before="120" w:after="120" w:line="360" w:lineRule="auto"/>
        <w:jc w:val="left"/>
        <w:rPr>
          <w:b w:val="0"/>
          <w:caps w:val="0"/>
        </w:rPr>
      </w:pPr>
      <w:r>
        <w:rPr>
          <w:b w:val="0"/>
          <w:caps w:val="0"/>
        </w:rPr>
        <w:t xml:space="preserve">Tabela </w:t>
      </w:r>
      <w:r w:rsidR="005C5A0F">
        <w:rPr>
          <w:b w:val="0"/>
          <w:caps w:val="0"/>
        </w:rPr>
        <w:t>5 - Quantidade e valor das empresas enquadradas como ME/EPP participantes no ano 2017</w:t>
      </w:r>
      <w:r w:rsidR="00EA177B">
        <w:rPr>
          <w:b w:val="0"/>
          <w:caps w:val="0"/>
        </w:rPr>
        <w:t xml:space="preserve"> </w:t>
      </w:r>
      <w:r w:rsidR="005C5A0F">
        <w:rPr>
          <w:b w:val="0"/>
          <w:caps w:val="0"/>
        </w:rPr>
        <w:t>....................................................................................</w:t>
      </w:r>
      <w:r w:rsidR="00EA177B">
        <w:rPr>
          <w:b w:val="0"/>
          <w:caps w:val="0"/>
        </w:rPr>
        <w:t>.....................................</w:t>
      </w:r>
      <w:r w:rsidR="009F362D">
        <w:rPr>
          <w:b w:val="0"/>
          <w:caps w:val="0"/>
        </w:rPr>
        <w:t>.....45</w:t>
      </w:r>
    </w:p>
    <w:p w14:paraId="2D6F33EC" w14:textId="75632350" w:rsidR="00EA177B" w:rsidRDefault="00191385" w:rsidP="00EA177B">
      <w:pPr>
        <w:pStyle w:val="Ttulospr-textuais"/>
        <w:tabs>
          <w:tab w:val="left" w:leader="dot" w:pos="8647"/>
        </w:tabs>
        <w:spacing w:before="120" w:after="120" w:line="360" w:lineRule="auto"/>
        <w:jc w:val="left"/>
        <w:rPr>
          <w:b w:val="0"/>
          <w:caps w:val="0"/>
        </w:rPr>
      </w:pPr>
      <w:r>
        <w:rPr>
          <w:b w:val="0"/>
          <w:caps w:val="0"/>
        </w:rPr>
        <w:t xml:space="preserve">Tabela </w:t>
      </w:r>
      <w:r w:rsidR="005C5A0F">
        <w:rPr>
          <w:b w:val="0"/>
          <w:caps w:val="0"/>
        </w:rPr>
        <w:t>6 - Valor das licitações no ano 2018</w:t>
      </w:r>
      <w:r w:rsidR="00EA177B">
        <w:rPr>
          <w:b w:val="0"/>
          <w:caps w:val="0"/>
        </w:rPr>
        <w:t xml:space="preserve"> </w:t>
      </w:r>
      <w:r w:rsidR="005C5A0F">
        <w:rPr>
          <w:b w:val="0"/>
          <w:caps w:val="0"/>
        </w:rPr>
        <w:t>...........................</w:t>
      </w:r>
      <w:r w:rsidR="00EA177B">
        <w:rPr>
          <w:b w:val="0"/>
          <w:caps w:val="0"/>
        </w:rPr>
        <w:t>.....................................</w:t>
      </w:r>
      <w:r w:rsidR="005C5A0F">
        <w:rPr>
          <w:b w:val="0"/>
          <w:caps w:val="0"/>
        </w:rPr>
        <w:t>...</w:t>
      </w:r>
      <w:r>
        <w:rPr>
          <w:b w:val="0"/>
          <w:caps w:val="0"/>
        </w:rPr>
        <w:t>..</w:t>
      </w:r>
      <w:r w:rsidR="005C5A0F">
        <w:rPr>
          <w:b w:val="0"/>
          <w:caps w:val="0"/>
        </w:rPr>
        <w:t>..4</w:t>
      </w:r>
      <w:r w:rsidR="009F362D">
        <w:rPr>
          <w:b w:val="0"/>
          <w:caps w:val="0"/>
        </w:rPr>
        <w:t>7</w:t>
      </w:r>
    </w:p>
    <w:p w14:paraId="097640AE" w14:textId="4C4B479A" w:rsidR="00EA177B" w:rsidRDefault="00191385" w:rsidP="00EA177B">
      <w:pPr>
        <w:pStyle w:val="Ttulospr-textuais"/>
        <w:tabs>
          <w:tab w:val="left" w:leader="dot" w:pos="8647"/>
        </w:tabs>
        <w:spacing w:before="120" w:after="120" w:line="360" w:lineRule="auto"/>
        <w:jc w:val="left"/>
        <w:rPr>
          <w:b w:val="0"/>
          <w:caps w:val="0"/>
        </w:rPr>
      </w:pPr>
      <w:r>
        <w:rPr>
          <w:b w:val="0"/>
          <w:caps w:val="0"/>
        </w:rPr>
        <w:t xml:space="preserve">Tabela </w:t>
      </w:r>
      <w:r w:rsidR="00B35BAD">
        <w:rPr>
          <w:b w:val="0"/>
          <w:caps w:val="0"/>
        </w:rPr>
        <w:t>7 - Descritivo das modalidades de licitação no ano 2018</w:t>
      </w:r>
      <w:r w:rsidR="00EA177B">
        <w:rPr>
          <w:b w:val="0"/>
          <w:caps w:val="0"/>
        </w:rPr>
        <w:t xml:space="preserve"> ........</w:t>
      </w:r>
      <w:r w:rsidR="00B35BAD">
        <w:rPr>
          <w:b w:val="0"/>
          <w:caps w:val="0"/>
        </w:rPr>
        <w:t>....................</w:t>
      </w:r>
      <w:r w:rsidR="00EA177B">
        <w:rPr>
          <w:b w:val="0"/>
          <w:caps w:val="0"/>
        </w:rPr>
        <w:t>....</w:t>
      </w:r>
      <w:r w:rsidR="009F362D">
        <w:rPr>
          <w:b w:val="0"/>
          <w:caps w:val="0"/>
        </w:rPr>
        <w:t>....</w:t>
      </w:r>
      <w:r>
        <w:rPr>
          <w:b w:val="0"/>
          <w:caps w:val="0"/>
        </w:rPr>
        <w:t>..</w:t>
      </w:r>
      <w:r w:rsidR="009F362D">
        <w:rPr>
          <w:b w:val="0"/>
          <w:caps w:val="0"/>
        </w:rPr>
        <w:t>.48</w:t>
      </w:r>
    </w:p>
    <w:p w14:paraId="60DC94DD" w14:textId="464B13E4" w:rsidR="00EA177B" w:rsidRDefault="00191385" w:rsidP="00EA177B">
      <w:pPr>
        <w:pStyle w:val="Ttulospr-textuais"/>
        <w:tabs>
          <w:tab w:val="left" w:leader="dot" w:pos="8647"/>
        </w:tabs>
        <w:spacing w:before="120" w:after="120" w:line="360" w:lineRule="auto"/>
        <w:jc w:val="left"/>
        <w:rPr>
          <w:b w:val="0"/>
          <w:caps w:val="0"/>
        </w:rPr>
      </w:pPr>
      <w:r>
        <w:rPr>
          <w:b w:val="0"/>
          <w:caps w:val="0"/>
        </w:rPr>
        <w:t xml:space="preserve">Tabela </w:t>
      </w:r>
      <w:r w:rsidR="00B35BAD">
        <w:rPr>
          <w:b w:val="0"/>
          <w:caps w:val="0"/>
        </w:rPr>
        <w:t>8 - Empresas participantes / Empresas vencedoras no ano 2018</w:t>
      </w:r>
      <w:r w:rsidR="00EA177B">
        <w:rPr>
          <w:b w:val="0"/>
          <w:caps w:val="0"/>
        </w:rPr>
        <w:t xml:space="preserve"> ........</w:t>
      </w:r>
      <w:r w:rsidR="00B35BAD">
        <w:rPr>
          <w:b w:val="0"/>
          <w:caps w:val="0"/>
        </w:rPr>
        <w:t>.</w:t>
      </w:r>
      <w:r w:rsidR="00EA177B">
        <w:rPr>
          <w:b w:val="0"/>
          <w:caps w:val="0"/>
        </w:rPr>
        <w:t>............</w:t>
      </w:r>
      <w:r w:rsidR="009F362D">
        <w:rPr>
          <w:b w:val="0"/>
          <w:caps w:val="0"/>
        </w:rPr>
        <w:t>....</w:t>
      </w:r>
      <w:r>
        <w:rPr>
          <w:b w:val="0"/>
          <w:caps w:val="0"/>
        </w:rPr>
        <w:t>..</w:t>
      </w:r>
      <w:r w:rsidR="009F362D">
        <w:rPr>
          <w:b w:val="0"/>
          <w:caps w:val="0"/>
        </w:rPr>
        <w:t>.49</w:t>
      </w:r>
    </w:p>
    <w:p w14:paraId="54DEF998" w14:textId="71164C23" w:rsidR="00EA177B" w:rsidRDefault="00191385" w:rsidP="00EA177B">
      <w:pPr>
        <w:pStyle w:val="Ttulospr-textuais"/>
        <w:tabs>
          <w:tab w:val="left" w:leader="dot" w:pos="8647"/>
        </w:tabs>
        <w:spacing w:before="120" w:after="120" w:line="360" w:lineRule="auto"/>
        <w:jc w:val="left"/>
        <w:rPr>
          <w:b w:val="0"/>
          <w:caps w:val="0"/>
        </w:rPr>
      </w:pPr>
      <w:r>
        <w:rPr>
          <w:b w:val="0"/>
          <w:caps w:val="0"/>
        </w:rPr>
        <w:t xml:space="preserve">Tabela </w:t>
      </w:r>
      <w:r w:rsidR="00B35BAD">
        <w:rPr>
          <w:b w:val="0"/>
          <w:caps w:val="0"/>
        </w:rPr>
        <w:t>9 - Valor das empresas vencedoras no ano 2018</w:t>
      </w:r>
      <w:r w:rsidR="00EA177B">
        <w:rPr>
          <w:b w:val="0"/>
          <w:caps w:val="0"/>
        </w:rPr>
        <w:t xml:space="preserve"> </w:t>
      </w:r>
      <w:r w:rsidR="00B35BAD">
        <w:rPr>
          <w:b w:val="0"/>
          <w:caps w:val="0"/>
        </w:rPr>
        <w:t>........</w:t>
      </w:r>
      <w:r w:rsidR="00EA177B">
        <w:rPr>
          <w:b w:val="0"/>
          <w:caps w:val="0"/>
        </w:rPr>
        <w:t>.....................................</w:t>
      </w:r>
      <w:r w:rsidR="009F362D">
        <w:rPr>
          <w:b w:val="0"/>
          <w:caps w:val="0"/>
        </w:rPr>
        <w:t>....</w:t>
      </w:r>
      <w:r>
        <w:rPr>
          <w:b w:val="0"/>
          <w:caps w:val="0"/>
        </w:rPr>
        <w:t>...</w:t>
      </w:r>
      <w:r w:rsidR="009F362D">
        <w:rPr>
          <w:b w:val="0"/>
          <w:caps w:val="0"/>
        </w:rPr>
        <w:t>.50</w:t>
      </w:r>
    </w:p>
    <w:p w14:paraId="40449751" w14:textId="457472D0" w:rsidR="00EA177B" w:rsidRDefault="00B35BAD" w:rsidP="00EA177B">
      <w:pPr>
        <w:pStyle w:val="Ttulospr-textuais"/>
        <w:tabs>
          <w:tab w:val="left" w:leader="dot" w:pos="8647"/>
        </w:tabs>
        <w:spacing w:before="120" w:after="120" w:line="360" w:lineRule="auto"/>
        <w:jc w:val="left"/>
        <w:rPr>
          <w:b w:val="0"/>
          <w:caps w:val="0"/>
        </w:rPr>
      </w:pPr>
      <w:r>
        <w:rPr>
          <w:b w:val="0"/>
          <w:caps w:val="0"/>
        </w:rPr>
        <w:t>Tabela 10 - Quantidade e valor das empresas enquadradas como ME/EPP participantes no ano 2018</w:t>
      </w:r>
      <w:r w:rsidR="00EA177B">
        <w:rPr>
          <w:b w:val="0"/>
          <w:caps w:val="0"/>
        </w:rPr>
        <w:t xml:space="preserve"> </w:t>
      </w:r>
      <w:r>
        <w:rPr>
          <w:b w:val="0"/>
          <w:caps w:val="0"/>
        </w:rPr>
        <w:t>....................................................................................</w:t>
      </w:r>
      <w:r w:rsidR="00EA177B">
        <w:rPr>
          <w:b w:val="0"/>
          <w:caps w:val="0"/>
        </w:rPr>
        <w:t>.....................................</w:t>
      </w:r>
      <w:r w:rsidR="009F362D">
        <w:rPr>
          <w:b w:val="0"/>
          <w:caps w:val="0"/>
        </w:rPr>
        <w:t>.....51</w:t>
      </w:r>
    </w:p>
    <w:p w14:paraId="7F1D0962" w14:textId="143F26E3" w:rsidR="00EA177B" w:rsidRDefault="00B35BAD" w:rsidP="00EA177B">
      <w:pPr>
        <w:pStyle w:val="Ttulospr-textuais"/>
        <w:tabs>
          <w:tab w:val="left" w:leader="dot" w:pos="8647"/>
        </w:tabs>
        <w:spacing w:before="120" w:after="120" w:line="360" w:lineRule="auto"/>
        <w:jc w:val="left"/>
        <w:rPr>
          <w:b w:val="0"/>
          <w:caps w:val="0"/>
        </w:rPr>
      </w:pPr>
      <w:r>
        <w:rPr>
          <w:b w:val="0"/>
          <w:caps w:val="0"/>
        </w:rPr>
        <w:t>Tabela 11 - Valor das licitações no ano 2019 ...........................</w:t>
      </w:r>
      <w:r w:rsidR="00EA177B">
        <w:rPr>
          <w:b w:val="0"/>
          <w:caps w:val="0"/>
        </w:rPr>
        <w:t>.....................................</w:t>
      </w:r>
      <w:r w:rsidR="009F362D">
        <w:rPr>
          <w:b w:val="0"/>
          <w:caps w:val="0"/>
        </w:rPr>
        <w:t>.....53</w:t>
      </w:r>
    </w:p>
    <w:p w14:paraId="5EC9CA45" w14:textId="4E6AE62E" w:rsidR="00EA177B" w:rsidRDefault="00B35BAD" w:rsidP="00EA177B">
      <w:pPr>
        <w:pStyle w:val="Ttulospr-textuais"/>
        <w:tabs>
          <w:tab w:val="left" w:leader="dot" w:pos="8647"/>
        </w:tabs>
        <w:spacing w:before="120" w:after="120" w:line="360" w:lineRule="auto"/>
        <w:jc w:val="left"/>
        <w:rPr>
          <w:b w:val="0"/>
          <w:caps w:val="0"/>
        </w:rPr>
      </w:pPr>
      <w:r>
        <w:rPr>
          <w:b w:val="0"/>
          <w:caps w:val="0"/>
        </w:rPr>
        <w:t>Tabela 12 - Descritivo</w:t>
      </w:r>
      <w:r w:rsidR="00434A74">
        <w:rPr>
          <w:b w:val="0"/>
          <w:caps w:val="0"/>
        </w:rPr>
        <w:t xml:space="preserve"> das modalidades de licitação no ano 2019 ..</w:t>
      </w:r>
      <w:r w:rsidR="00EA177B">
        <w:rPr>
          <w:b w:val="0"/>
          <w:caps w:val="0"/>
        </w:rPr>
        <w:t>........</w:t>
      </w:r>
      <w:r w:rsidR="00434A74">
        <w:rPr>
          <w:b w:val="0"/>
          <w:caps w:val="0"/>
        </w:rPr>
        <w:t>.................</w:t>
      </w:r>
      <w:r w:rsidR="00EA177B">
        <w:rPr>
          <w:b w:val="0"/>
          <w:caps w:val="0"/>
        </w:rPr>
        <w:t>.....</w:t>
      </w:r>
      <w:r w:rsidR="009F362D">
        <w:rPr>
          <w:b w:val="0"/>
          <w:caps w:val="0"/>
        </w:rPr>
        <w:t>.....54</w:t>
      </w:r>
    </w:p>
    <w:p w14:paraId="5D4EC605" w14:textId="0B362D03" w:rsidR="00EA177B" w:rsidRDefault="00434A74" w:rsidP="00EA177B">
      <w:pPr>
        <w:pStyle w:val="Ttulospr-textuais"/>
        <w:tabs>
          <w:tab w:val="left" w:leader="dot" w:pos="8647"/>
        </w:tabs>
        <w:spacing w:before="120" w:after="120" w:line="360" w:lineRule="auto"/>
        <w:jc w:val="left"/>
        <w:rPr>
          <w:b w:val="0"/>
          <w:caps w:val="0"/>
        </w:rPr>
      </w:pPr>
      <w:r>
        <w:rPr>
          <w:b w:val="0"/>
          <w:caps w:val="0"/>
        </w:rPr>
        <w:t>Tabela 13 - Empresas participantes / Empresas vencedoras no ano 2019 .</w:t>
      </w:r>
      <w:r w:rsidR="00EA177B">
        <w:rPr>
          <w:b w:val="0"/>
          <w:caps w:val="0"/>
        </w:rPr>
        <w:t>........</w:t>
      </w:r>
      <w:r>
        <w:rPr>
          <w:b w:val="0"/>
          <w:caps w:val="0"/>
        </w:rPr>
        <w:t>..</w:t>
      </w:r>
      <w:r w:rsidR="00EA177B">
        <w:rPr>
          <w:b w:val="0"/>
          <w:caps w:val="0"/>
        </w:rPr>
        <w:t>..........</w:t>
      </w:r>
      <w:r w:rsidR="009F362D">
        <w:rPr>
          <w:b w:val="0"/>
          <w:caps w:val="0"/>
        </w:rPr>
        <w:t>.....55</w:t>
      </w:r>
    </w:p>
    <w:p w14:paraId="67B6DBA2" w14:textId="04740A3F" w:rsidR="00EA177B" w:rsidRDefault="00434A74" w:rsidP="00EA177B">
      <w:pPr>
        <w:pStyle w:val="Ttulospr-textuais"/>
        <w:tabs>
          <w:tab w:val="left" w:leader="dot" w:pos="8647"/>
        </w:tabs>
        <w:spacing w:before="120" w:after="120" w:line="360" w:lineRule="auto"/>
        <w:jc w:val="left"/>
        <w:rPr>
          <w:b w:val="0"/>
          <w:caps w:val="0"/>
        </w:rPr>
      </w:pPr>
      <w:r>
        <w:rPr>
          <w:b w:val="0"/>
          <w:caps w:val="0"/>
        </w:rPr>
        <w:t>Tabela 14 - Valor das</w:t>
      </w:r>
      <w:r w:rsidR="00EA177B">
        <w:rPr>
          <w:b w:val="0"/>
          <w:caps w:val="0"/>
        </w:rPr>
        <w:t xml:space="preserve"> </w:t>
      </w:r>
      <w:r>
        <w:rPr>
          <w:b w:val="0"/>
          <w:caps w:val="0"/>
        </w:rPr>
        <w:t>empresas vencedoras no ano 2019..........</w:t>
      </w:r>
      <w:r w:rsidR="00EA177B">
        <w:rPr>
          <w:b w:val="0"/>
          <w:caps w:val="0"/>
        </w:rPr>
        <w:t>.....................................</w:t>
      </w:r>
      <w:r w:rsidR="009F362D">
        <w:rPr>
          <w:b w:val="0"/>
          <w:caps w:val="0"/>
        </w:rPr>
        <w:t>.....56</w:t>
      </w:r>
    </w:p>
    <w:p w14:paraId="32AE3AFB" w14:textId="7DC6D91A" w:rsidR="00EA177B" w:rsidRDefault="00434A74" w:rsidP="00EA177B">
      <w:pPr>
        <w:pStyle w:val="Ttulospr-textuais"/>
        <w:tabs>
          <w:tab w:val="left" w:leader="dot" w:pos="8647"/>
        </w:tabs>
        <w:spacing w:before="120" w:after="120" w:line="360" w:lineRule="auto"/>
        <w:jc w:val="left"/>
        <w:rPr>
          <w:b w:val="0"/>
          <w:caps w:val="0"/>
        </w:rPr>
      </w:pPr>
      <w:r>
        <w:rPr>
          <w:b w:val="0"/>
          <w:caps w:val="0"/>
        </w:rPr>
        <w:t>Tabela 15 - Quantidade e valor das empresas enquadradas como ME/EPP participantes no ano2019</w:t>
      </w:r>
      <w:r w:rsidR="00EA177B">
        <w:rPr>
          <w:b w:val="0"/>
          <w:caps w:val="0"/>
        </w:rPr>
        <w:t xml:space="preserve"> </w:t>
      </w:r>
      <w:r>
        <w:rPr>
          <w:b w:val="0"/>
          <w:caps w:val="0"/>
        </w:rPr>
        <w:t>.....................................................................................</w:t>
      </w:r>
      <w:r w:rsidR="00EA177B">
        <w:rPr>
          <w:b w:val="0"/>
          <w:caps w:val="0"/>
        </w:rPr>
        <w:t>.....................................</w:t>
      </w:r>
      <w:r>
        <w:rPr>
          <w:b w:val="0"/>
          <w:caps w:val="0"/>
        </w:rPr>
        <w:t>.....5</w:t>
      </w:r>
      <w:r w:rsidR="009F362D">
        <w:rPr>
          <w:b w:val="0"/>
          <w:caps w:val="0"/>
        </w:rPr>
        <w:t>7</w:t>
      </w:r>
    </w:p>
    <w:p w14:paraId="722EDE97" w14:textId="69F14F81" w:rsidR="00EA177B" w:rsidRDefault="00434A74" w:rsidP="00EA177B">
      <w:pPr>
        <w:pStyle w:val="Ttulospr-textuais"/>
        <w:tabs>
          <w:tab w:val="left" w:leader="dot" w:pos="8647"/>
        </w:tabs>
        <w:spacing w:before="120" w:after="120" w:line="360" w:lineRule="auto"/>
        <w:jc w:val="left"/>
        <w:rPr>
          <w:b w:val="0"/>
          <w:caps w:val="0"/>
        </w:rPr>
      </w:pPr>
      <w:r>
        <w:rPr>
          <w:b w:val="0"/>
          <w:caps w:val="0"/>
        </w:rPr>
        <w:t>Tabela 16 - Valor das licitações no ano 2020</w:t>
      </w:r>
      <w:r w:rsidR="00EA177B">
        <w:rPr>
          <w:b w:val="0"/>
          <w:caps w:val="0"/>
        </w:rPr>
        <w:t xml:space="preserve"> </w:t>
      </w:r>
      <w:r>
        <w:rPr>
          <w:b w:val="0"/>
          <w:caps w:val="0"/>
        </w:rPr>
        <w:t>...........................</w:t>
      </w:r>
      <w:r w:rsidR="00EA177B">
        <w:rPr>
          <w:b w:val="0"/>
          <w:caps w:val="0"/>
        </w:rPr>
        <w:t>.....................................</w:t>
      </w:r>
      <w:r w:rsidR="009F362D">
        <w:rPr>
          <w:b w:val="0"/>
          <w:caps w:val="0"/>
        </w:rPr>
        <w:t>.....59</w:t>
      </w:r>
    </w:p>
    <w:p w14:paraId="699D438D" w14:textId="767BB1C8" w:rsidR="00EA177B" w:rsidRDefault="00434A74" w:rsidP="00EA177B">
      <w:pPr>
        <w:pStyle w:val="Ttulospr-textuais"/>
        <w:tabs>
          <w:tab w:val="left" w:leader="dot" w:pos="8647"/>
        </w:tabs>
        <w:spacing w:before="120" w:after="120" w:line="360" w:lineRule="auto"/>
        <w:jc w:val="left"/>
        <w:rPr>
          <w:b w:val="0"/>
          <w:caps w:val="0"/>
        </w:rPr>
      </w:pPr>
      <w:r>
        <w:rPr>
          <w:b w:val="0"/>
          <w:caps w:val="0"/>
        </w:rPr>
        <w:t>Tabela 17 - Descritivo das modalidades de licitação no ano 2020</w:t>
      </w:r>
      <w:r w:rsidR="00EA177B">
        <w:rPr>
          <w:b w:val="0"/>
          <w:caps w:val="0"/>
        </w:rPr>
        <w:t xml:space="preserve"> ........</w:t>
      </w:r>
      <w:r>
        <w:rPr>
          <w:b w:val="0"/>
          <w:caps w:val="0"/>
        </w:rPr>
        <w:t>.........</w:t>
      </w:r>
      <w:r w:rsidR="00EA177B">
        <w:rPr>
          <w:b w:val="0"/>
          <w:caps w:val="0"/>
        </w:rPr>
        <w:t>...............</w:t>
      </w:r>
      <w:r w:rsidR="009F362D">
        <w:rPr>
          <w:b w:val="0"/>
          <w:caps w:val="0"/>
        </w:rPr>
        <w:t>.....60</w:t>
      </w:r>
    </w:p>
    <w:p w14:paraId="04059391" w14:textId="72C12164" w:rsidR="00EA177B" w:rsidRDefault="00434A74" w:rsidP="00EA177B">
      <w:pPr>
        <w:pStyle w:val="Ttulospr-textuais"/>
        <w:tabs>
          <w:tab w:val="left" w:leader="dot" w:pos="8647"/>
        </w:tabs>
        <w:spacing w:before="120" w:after="120" w:line="360" w:lineRule="auto"/>
        <w:jc w:val="left"/>
        <w:rPr>
          <w:b w:val="0"/>
          <w:caps w:val="0"/>
        </w:rPr>
      </w:pPr>
      <w:r>
        <w:rPr>
          <w:b w:val="0"/>
          <w:caps w:val="0"/>
        </w:rPr>
        <w:t>Tabela 18 - Empresas participantes / Empresas vencedoras no ano 2020</w:t>
      </w:r>
      <w:r w:rsidR="00EA177B">
        <w:rPr>
          <w:b w:val="0"/>
          <w:caps w:val="0"/>
        </w:rPr>
        <w:t xml:space="preserve"> ........</w:t>
      </w:r>
      <w:r>
        <w:rPr>
          <w:b w:val="0"/>
          <w:caps w:val="0"/>
        </w:rPr>
        <w:t>.....</w:t>
      </w:r>
      <w:r w:rsidR="00EA177B">
        <w:rPr>
          <w:b w:val="0"/>
          <w:caps w:val="0"/>
        </w:rPr>
        <w:t>........</w:t>
      </w:r>
      <w:r w:rsidR="009F362D">
        <w:rPr>
          <w:b w:val="0"/>
          <w:caps w:val="0"/>
        </w:rPr>
        <w:t>.....61</w:t>
      </w:r>
    </w:p>
    <w:p w14:paraId="679F7F14" w14:textId="65CFD64F" w:rsidR="00EA177B" w:rsidRDefault="003E631E" w:rsidP="00EA177B">
      <w:pPr>
        <w:pStyle w:val="Ttulospr-textuais"/>
        <w:tabs>
          <w:tab w:val="left" w:leader="dot" w:pos="8647"/>
        </w:tabs>
        <w:spacing w:before="120" w:after="120" w:line="360" w:lineRule="auto"/>
        <w:jc w:val="left"/>
        <w:rPr>
          <w:b w:val="0"/>
          <w:caps w:val="0"/>
        </w:rPr>
      </w:pPr>
      <w:r>
        <w:rPr>
          <w:b w:val="0"/>
          <w:caps w:val="0"/>
        </w:rPr>
        <w:t>Tabela 19 - Valor das empresas vencedoras no ano 2020</w:t>
      </w:r>
      <w:r w:rsidR="00EA177B">
        <w:rPr>
          <w:b w:val="0"/>
          <w:caps w:val="0"/>
        </w:rPr>
        <w:t xml:space="preserve"> </w:t>
      </w:r>
      <w:r>
        <w:rPr>
          <w:b w:val="0"/>
          <w:caps w:val="0"/>
        </w:rPr>
        <w:t>.........</w:t>
      </w:r>
      <w:r w:rsidR="00EA177B">
        <w:rPr>
          <w:b w:val="0"/>
          <w:caps w:val="0"/>
        </w:rPr>
        <w:t>.....................................</w:t>
      </w:r>
      <w:r w:rsidR="009F362D">
        <w:rPr>
          <w:b w:val="0"/>
          <w:caps w:val="0"/>
        </w:rPr>
        <w:t>.....62</w:t>
      </w:r>
    </w:p>
    <w:p w14:paraId="354EF115" w14:textId="214B7637" w:rsidR="00EA177B" w:rsidRDefault="003E631E" w:rsidP="00EA177B">
      <w:pPr>
        <w:pStyle w:val="Ttulospr-textuais"/>
        <w:tabs>
          <w:tab w:val="left" w:leader="dot" w:pos="8647"/>
        </w:tabs>
        <w:spacing w:before="120" w:after="120" w:line="360" w:lineRule="auto"/>
        <w:jc w:val="left"/>
        <w:rPr>
          <w:b w:val="0"/>
          <w:caps w:val="0"/>
        </w:rPr>
      </w:pPr>
      <w:r>
        <w:rPr>
          <w:b w:val="0"/>
          <w:caps w:val="0"/>
        </w:rPr>
        <w:t>Tabela 20 - Quantidade e valor das empresas enquadradas como ME/EPP participantes no ano 2020</w:t>
      </w:r>
      <w:r w:rsidR="00EA177B">
        <w:rPr>
          <w:b w:val="0"/>
          <w:caps w:val="0"/>
        </w:rPr>
        <w:t xml:space="preserve"> </w:t>
      </w:r>
      <w:r>
        <w:rPr>
          <w:b w:val="0"/>
          <w:caps w:val="0"/>
        </w:rPr>
        <w:t>....................................................................................</w:t>
      </w:r>
      <w:r w:rsidR="00EA177B">
        <w:rPr>
          <w:b w:val="0"/>
          <w:caps w:val="0"/>
        </w:rPr>
        <w:t>.....................................</w:t>
      </w:r>
      <w:r>
        <w:rPr>
          <w:b w:val="0"/>
          <w:caps w:val="0"/>
        </w:rPr>
        <w:t>....</w:t>
      </w:r>
      <w:r w:rsidR="009F362D">
        <w:rPr>
          <w:b w:val="0"/>
          <w:caps w:val="0"/>
        </w:rPr>
        <w:t>.63</w:t>
      </w:r>
    </w:p>
    <w:p w14:paraId="4F0E7886" w14:textId="414D2126" w:rsidR="00EA177B" w:rsidRDefault="005C60EB" w:rsidP="00EA177B">
      <w:pPr>
        <w:pStyle w:val="Ttulospr-textuais"/>
        <w:tabs>
          <w:tab w:val="left" w:leader="dot" w:pos="8647"/>
        </w:tabs>
        <w:spacing w:before="120" w:after="120" w:line="360" w:lineRule="auto"/>
        <w:jc w:val="left"/>
        <w:rPr>
          <w:b w:val="0"/>
          <w:caps w:val="0"/>
        </w:rPr>
      </w:pPr>
      <w:r w:rsidRPr="00B8782F">
        <w:rPr>
          <w:noProof/>
        </w:rPr>
        <w:lastRenderedPageBreak/>
        <mc:AlternateContent>
          <mc:Choice Requires="wps">
            <w:drawing>
              <wp:anchor distT="45720" distB="45720" distL="114300" distR="114300" simplePos="0" relativeHeight="251695104" behindDoc="0" locked="0" layoutInCell="1" allowOverlap="1" wp14:anchorId="2CA48058" wp14:editId="47CEC609">
                <wp:simplePos x="0" y="0"/>
                <wp:positionH relativeFrom="margin">
                  <wp:posOffset>5349240</wp:posOffset>
                </wp:positionH>
                <wp:positionV relativeFrom="paragraph">
                  <wp:posOffset>-689610</wp:posOffset>
                </wp:positionV>
                <wp:extent cx="390525" cy="276225"/>
                <wp:effectExtent l="0" t="0" r="9525" b="9525"/>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solidFill>
                          <a:srgbClr val="FFFFFF"/>
                        </a:solidFill>
                        <a:ln w="9525">
                          <a:noFill/>
                          <a:miter lim="800000"/>
                          <a:headEnd/>
                          <a:tailEnd/>
                        </a:ln>
                      </wps:spPr>
                      <wps:txbx>
                        <w:txbxContent>
                          <w:p w14:paraId="1345ED20" w14:textId="77777777" w:rsidR="00DF47F4" w:rsidRDefault="00DF47F4" w:rsidP="005C60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48058" id="_x0000_s1039" type="#_x0000_t202" style="position:absolute;margin-left:421.2pt;margin-top:-54.3pt;width:30.75pt;height:21.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" stroked="f">
                <v:textbox>
                  <w:txbxContent>
                    <w:p w14:paraId="1345ED20" w14:textId="77777777" w:rsidR="00DF47F4" w:rsidRDefault="00DF47F4" w:rsidP="005C60EB"/>
                  </w:txbxContent>
                </v:textbox>
                <w10:wrap anchorx="margin"/>
              </v:shape>
            </w:pict>
          </mc:Fallback>
        </mc:AlternateContent>
      </w:r>
      <w:r w:rsidR="003E631E">
        <w:rPr>
          <w:b w:val="0"/>
          <w:caps w:val="0"/>
        </w:rPr>
        <w:t xml:space="preserve">Tabela 21 - Quantidade e valores utilizados em cada modalidade de licitação </w:t>
      </w:r>
      <w:r w:rsidR="009F362D">
        <w:rPr>
          <w:b w:val="0"/>
          <w:caps w:val="0"/>
        </w:rPr>
        <w:t xml:space="preserve">nos anos de </w:t>
      </w:r>
      <w:r w:rsidR="003E631E">
        <w:rPr>
          <w:b w:val="0"/>
          <w:caps w:val="0"/>
        </w:rPr>
        <w:t xml:space="preserve">2017 </w:t>
      </w:r>
      <w:r w:rsidR="009F362D">
        <w:rPr>
          <w:b w:val="0"/>
          <w:caps w:val="0"/>
        </w:rPr>
        <w:t>a 2020 ....................................</w:t>
      </w:r>
      <w:r w:rsidR="003E631E">
        <w:rPr>
          <w:b w:val="0"/>
          <w:caps w:val="0"/>
        </w:rPr>
        <w:t>...........................................</w:t>
      </w:r>
      <w:r w:rsidR="00EA177B">
        <w:rPr>
          <w:b w:val="0"/>
          <w:caps w:val="0"/>
        </w:rPr>
        <w:t>.....................................</w:t>
      </w:r>
      <w:r w:rsidR="009F362D">
        <w:rPr>
          <w:b w:val="0"/>
          <w:caps w:val="0"/>
        </w:rPr>
        <w:t>.....65</w:t>
      </w:r>
    </w:p>
    <w:p w14:paraId="20150224" w14:textId="4362278C" w:rsidR="003E631E" w:rsidRDefault="003E631E" w:rsidP="003E631E">
      <w:pPr>
        <w:pStyle w:val="Ttulospr-textuais"/>
        <w:tabs>
          <w:tab w:val="left" w:leader="dot" w:pos="8647"/>
        </w:tabs>
        <w:spacing w:before="120" w:after="120" w:line="360" w:lineRule="auto"/>
        <w:jc w:val="left"/>
        <w:rPr>
          <w:b w:val="0"/>
          <w:caps w:val="0"/>
        </w:rPr>
      </w:pPr>
      <w:r>
        <w:rPr>
          <w:b w:val="0"/>
          <w:caps w:val="0"/>
        </w:rPr>
        <w:t xml:space="preserve">Tabela 22 - Quantidade de empresas participantes por região </w:t>
      </w:r>
      <w:r w:rsidR="00C779CB">
        <w:rPr>
          <w:b w:val="0"/>
          <w:caps w:val="0"/>
        </w:rPr>
        <w:t>-</w:t>
      </w:r>
      <w:r>
        <w:rPr>
          <w:b w:val="0"/>
          <w:caps w:val="0"/>
        </w:rPr>
        <w:t xml:space="preserve"> 2017 a 2020 ..............</w:t>
      </w:r>
      <w:r w:rsidR="00191385">
        <w:rPr>
          <w:b w:val="0"/>
          <w:caps w:val="0"/>
        </w:rPr>
        <w:t>.</w:t>
      </w:r>
      <w:r>
        <w:rPr>
          <w:b w:val="0"/>
          <w:caps w:val="0"/>
        </w:rPr>
        <w:t>.....</w:t>
      </w:r>
      <w:r w:rsidR="009F362D">
        <w:rPr>
          <w:b w:val="0"/>
          <w:caps w:val="0"/>
        </w:rPr>
        <w:t>.66</w:t>
      </w:r>
    </w:p>
    <w:p w14:paraId="22FE054D" w14:textId="1081E816" w:rsidR="00C779CB" w:rsidRDefault="00C779CB" w:rsidP="00EA177B">
      <w:pPr>
        <w:pStyle w:val="Ttulospr-textuais"/>
        <w:tabs>
          <w:tab w:val="left" w:leader="dot" w:pos="8647"/>
        </w:tabs>
        <w:spacing w:before="120" w:after="120" w:line="360" w:lineRule="auto"/>
        <w:jc w:val="left"/>
        <w:rPr>
          <w:b w:val="0"/>
          <w:caps w:val="0"/>
        </w:rPr>
      </w:pPr>
      <w:r>
        <w:rPr>
          <w:b w:val="0"/>
          <w:caps w:val="0"/>
        </w:rPr>
        <w:t>Tabela 23 - Quantidade de empresas participantes venc</w:t>
      </w:r>
      <w:r w:rsidR="00191385">
        <w:rPr>
          <w:b w:val="0"/>
          <w:caps w:val="0"/>
        </w:rPr>
        <w:t>edoras por região - 2017 a 2020..</w:t>
      </w:r>
      <w:r w:rsidR="00EA177B">
        <w:rPr>
          <w:b w:val="0"/>
          <w:caps w:val="0"/>
        </w:rPr>
        <w:t>.</w:t>
      </w:r>
      <w:r w:rsidR="009F362D">
        <w:rPr>
          <w:b w:val="0"/>
          <w:caps w:val="0"/>
        </w:rPr>
        <w:t>66</w:t>
      </w:r>
    </w:p>
    <w:p w14:paraId="1066036A" w14:textId="6FFC5E0B" w:rsidR="00514B92" w:rsidRDefault="00C779CB" w:rsidP="00514B92">
      <w:pPr>
        <w:pStyle w:val="Ttulospr-textuais"/>
        <w:tabs>
          <w:tab w:val="left" w:leader="dot" w:pos="8647"/>
        </w:tabs>
        <w:spacing w:before="120" w:after="120" w:line="360" w:lineRule="auto"/>
        <w:jc w:val="left"/>
        <w:rPr>
          <w:b w:val="0"/>
          <w:caps w:val="0"/>
        </w:rPr>
      </w:pPr>
      <w:r>
        <w:rPr>
          <w:b w:val="0"/>
          <w:caps w:val="0"/>
        </w:rPr>
        <w:t>Tabela 24 - Valor das empresas participantes / vencedoras por região - 2017 a 2020 ....</w:t>
      </w:r>
      <w:r w:rsidR="009F362D">
        <w:rPr>
          <w:b w:val="0"/>
          <w:caps w:val="0"/>
        </w:rPr>
        <w:t>...69</w:t>
      </w:r>
    </w:p>
    <w:p w14:paraId="6F64EEC9" w14:textId="374752D0" w:rsidR="00C779CB" w:rsidRDefault="00C779CB" w:rsidP="00C779CB">
      <w:pPr>
        <w:pStyle w:val="Ttulospr-textuais"/>
        <w:tabs>
          <w:tab w:val="left" w:leader="dot" w:pos="8647"/>
        </w:tabs>
        <w:spacing w:before="120" w:after="120" w:line="360" w:lineRule="auto"/>
        <w:jc w:val="left"/>
        <w:rPr>
          <w:b w:val="0"/>
          <w:caps w:val="0"/>
        </w:rPr>
      </w:pPr>
      <w:r>
        <w:rPr>
          <w:b w:val="0"/>
          <w:caps w:val="0"/>
        </w:rPr>
        <w:t>Tabela 25 - Quantidade de empresas vencedoras enquadradas como ME/EPP - 2017 a 2020 ................................................................................................................</w:t>
      </w:r>
      <w:r w:rsidR="009F362D">
        <w:rPr>
          <w:b w:val="0"/>
          <w:caps w:val="0"/>
        </w:rPr>
        <w:t>..............................70</w:t>
      </w:r>
    </w:p>
    <w:p w14:paraId="6A90C807" w14:textId="6EACC79E" w:rsidR="00C779CB" w:rsidRDefault="00C779CB" w:rsidP="00C779CB">
      <w:pPr>
        <w:pStyle w:val="Ttulospr-textuais"/>
        <w:tabs>
          <w:tab w:val="left" w:leader="dot" w:pos="8647"/>
        </w:tabs>
        <w:spacing w:before="120" w:after="120" w:line="360" w:lineRule="auto"/>
        <w:jc w:val="left"/>
        <w:rPr>
          <w:b w:val="0"/>
          <w:caps w:val="0"/>
        </w:rPr>
      </w:pPr>
      <w:r>
        <w:rPr>
          <w:b w:val="0"/>
          <w:caps w:val="0"/>
        </w:rPr>
        <w:t>Tabela 26 - Valor das participações de empresas vencedoras enquadradas como ME/EPP -  2017 a 2020 ...........................................................................................</w:t>
      </w:r>
      <w:r w:rsidR="009F362D">
        <w:rPr>
          <w:b w:val="0"/>
          <w:caps w:val="0"/>
        </w:rPr>
        <w:t>..............................71</w:t>
      </w:r>
    </w:p>
    <w:p w14:paraId="22D0215B" w14:textId="77777777" w:rsidR="00C779CB" w:rsidRDefault="00C779CB" w:rsidP="00514B92">
      <w:pPr>
        <w:pStyle w:val="Ttulospr-textuais"/>
        <w:tabs>
          <w:tab w:val="left" w:leader="dot" w:pos="8647"/>
        </w:tabs>
        <w:spacing w:before="120" w:after="120" w:line="360" w:lineRule="auto"/>
        <w:jc w:val="left"/>
        <w:rPr>
          <w:b w:val="0"/>
          <w:caps w:val="0"/>
        </w:rPr>
      </w:pPr>
    </w:p>
    <w:p w14:paraId="2B40D26D" w14:textId="660831B2" w:rsidR="00AA10EA" w:rsidRDefault="00AA10EA" w:rsidP="005C5A0F">
      <w:pPr>
        <w:pStyle w:val="UNIDAVISEOPRIMRIA"/>
        <w:jc w:val="center"/>
        <w:rPr>
          <w:lang w:val="pt-BR"/>
        </w:rPr>
      </w:pPr>
      <w:r w:rsidRPr="00720A7D">
        <w:rPr>
          <w:lang w:val="pt-BR"/>
        </w:rPr>
        <w:br w:type="page"/>
      </w:r>
      <w:r w:rsidR="00B8782F" w:rsidRPr="00B8782F">
        <w:rPr>
          <w:noProof/>
          <w:lang w:val="pt-BR" w:eastAsia="pt-BR"/>
        </w:rPr>
        <w:lastRenderedPageBreak/>
        <mc:AlternateContent>
          <mc:Choice Requires="wps">
            <w:drawing>
              <wp:anchor distT="45720" distB="45720" distL="114300" distR="114300" simplePos="0" relativeHeight="251677696" behindDoc="0" locked="0" layoutInCell="1" allowOverlap="1" wp14:anchorId="6023EF20" wp14:editId="10C9333E">
                <wp:simplePos x="0" y="0"/>
                <wp:positionH relativeFrom="margin">
                  <wp:posOffset>5355171</wp:posOffset>
                </wp:positionH>
                <wp:positionV relativeFrom="paragraph">
                  <wp:posOffset>-636917</wp:posOffset>
                </wp:positionV>
                <wp:extent cx="319177" cy="301925"/>
                <wp:effectExtent l="0" t="0" r="5080" b="3175"/>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77" cy="301925"/>
                        </a:xfrm>
                        <a:prstGeom prst="rect">
                          <a:avLst/>
                        </a:prstGeom>
                        <a:solidFill>
                          <a:srgbClr val="FFFFFF"/>
                        </a:solidFill>
                        <a:ln w="9525">
                          <a:noFill/>
                          <a:miter lim="800000"/>
                          <a:headEnd/>
                          <a:tailEnd/>
                        </a:ln>
                      </wps:spPr>
                      <wps:txbx>
                        <w:txbxContent>
                          <w:p w14:paraId="1870E28D" w14:textId="77777777" w:rsidR="00DF47F4" w:rsidRDefault="00DF47F4" w:rsidP="00B87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3EF20" id="_x0000_s1040" type="#_x0000_t202" style="position:absolute;left:0;text-align:left;margin-left:421.65pt;margin-top:-50.15pt;width:25.15pt;height:23.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" stroked="f">
                <v:textbox>
                  <w:txbxContent>
                    <w:p w14:paraId="1870E28D" w14:textId="77777777" w:rsidR="00DF47F4" w:rsidRDefault="00DF47F4" w:rsidP="00B8782F"/>
                  </w:txbxContent>
                </v:textbox>
                <w10:wrap anchorx="margin"/>
              </v:shape>
            </w:pict>
          </mc:Fallback>
        </mc:AlternateContent>
      </w:r>
      <w:r w:rsidRPr="00720A7D">
        <w:rPr>
          <w:lang w:val="pt-BR"/>
        </w:rPr>
        <w:t xml:space="preserve">LISTA DE </w:t>
      </w:r>
      <w:r w:rsidR="00F9319C">
        <w:rPr>
          <w:lang w:val="pt-BR"/>
        </w:rPr>
        <w:t>gráficos</w:t>
      </w:r>
    </w:p>
    <w:p w14:paraId="70D556E4" w14:textId="77777777" w:rsidR="00AA10EA" w:rsidRDefault="00AA10EA" w:rsidP="00F8000B">
      <w:pPr>
        <w:pStyle w:val="UNIDAVISEOPRIMRIA"/>
        <w:jc w:val="center"/>
        <w:rPr>
          <w:lang w:val="pt-BR"/>
        </w:rPr>
      </w:pPr>
    </w:p>
    <w:p w14:paraId="43736AFB" w14:textId="77777777" w:rsidR="00AA10EA" w:rsidRPr="00474D06" w:rsidRDefault="00AA10EA" w:rsidP="00F8000B"/>
    <w:p w14:paraId="381E8D2F" w14:textId="77777777" w:rsidR="00AA10EA" w:rsidRPr="00474D06" w:rsidRDefault="00AA10EA" w:rsidP="00F8000B">
      <w:pPr>
        <w:tabs>
          <w:tab w:val="left" w:pos="1418"/>
        </w:tabs>
      </w:pPr>
    </w:p>
    <w:p w14:paraId="735DDF05" w14:textId="29477EC0" w:rsidR="00E61E60" w:rsidRDefault="00762552" w:rsidP="00E61E60">
      <w:pPr>
        <w:pStyle w:val="Ttulospr-textuais"/>
        <w:tabs>
          <w:tab w:val="left" w:leader="dot" w:pos="8647"/>
        </w:tabs>
        <w:spacing w:before="120" w:after="120" w:line="360" w:lineRule="auto"/>
        <w:jc w:val="left"/>
        <w:rPr>
          <w:b w:val="0"/>
          <w:caps w:val="0"/>
        </w:rPr>
      </w:pPr>
      <w:r>
        <w:rPr>
          <w:b w:val="0"/>
          <w:caps w:val="0"/>
        </w:rPr>
        <w:t>Gráfico</w:t>
      </w:r>
      <w:r w:rsidR="00191385">
        <w:rPr>
          <w:b w:val="0"/>
          <w:caps w:val="0"/>
        </w:rPr>
        <w:t xml:space="preserve"> </w:t>
      </w:r>
      <w:r w:rsidR="00E61E60">
        <w:rPr>
          <w:b w:val="0"/>
          <w:caps w:val="0"/>
        </w:rPr>
        <w:t xml:space="preserve">1 - Valor </w:t>
      </w:r>
      <w:r w:rsidR="00323503">
        <w:rPr>
          <w:b w:val="0"/>
          <w:caps w:val="0"/>
        </w:rPr>
        <w:t>total / economia no ano 2017</w:t>
      </w:r>
      <w:r w:rsidR="00191385">
        <w:rPr>
          <w:b w:val="0"/>
          <w:caps w:val="0"/>
        </w:rPr>
        <w:t>.</w:t>
      </w:r>
      <w:r w:rsidR="00323503">
        <w:rPr>
          <w:b w:val="0"/>
          <w:caps w:val="0"/>
        </w:rPr>
        <w:t>................</w:t>
      </w:r>
      <w:r w:rsidR="00E61E60">
        <w:rPr>
          <w:b w:val="0"/>
          <w:caps w:val="0"/>
        </w:rPr>
        <w:t>...</w:t>
      </w:r>
      <w:r w:rsidR="00191385">
        <w:rPr>
          <w:b w:val="0"/>
          <w:caps w:val="0"/>
        </w:rPr>
        <w:t>..</w:t>
      </w:r>
      <w:r w:rsidR="00E61E60">
        <w:rPr>
          <w:b w:val="0"/>
          <w:caps w:val="0"/>
        </w:rPr>
        <w:t>...............</w:t>
      </w:r>
      <w:r w:rsidR="009F362D">
        <w:rPr>
          <w:b w:val="0"/>
          <w:caps w:val="0"/>
        </w:rPr>
        <w:t>..............................41</w:t>
      </w:r>
    </w:p>
    <w:p w14:paraId="46489BF5" w14:textId="086B6DED" w:rsidR="00762552" w:rsidRDefault="00191385" w:rsidP="00762552">
      <w:pPr>
        <w:pStyle w:val="Ttulospr-textuais"/>
        <w:tabs>
          <w:tab w:val="left" w:leader="dot" w:pos="8647"/>
        </w:tabs>
        <w:spacing w:before="120" w:after="120" w:line="360" w:lineRule="auto"/>
        <w:jc w:val="left"/>
        <w:rPr>
          <w:b w:val="0"/>
          <w:caps w:val="0"/>
        </w:rPr>
      </w:pPr>
      <w:r>
        <w:rPr>
          <w:b w:val="0"/>
          <w:caps w:val="0"/>
        </w:rPr>
        <w:t xml:space="preserve">Gráfico </w:t>
      </w:r>
      <w:r w:rsidR="00323503">
        <w:rPr>
          <w:b w:val="0"/>
          <w:caps w:val="0"/>
        </w:rPr>
        <w:t>2</w:t>
      </w:r>
      <w:r w:rsidR="00762552">
        <w:rPr>
          <w:b w:val="0"/>
          <w:caps w:val="0"/>
        </w:rPr>
        <w:t xml:space="preserve"> </w:t>
      </w:r>
      <w:r w:rsidR="00861476">
        <w:rPr>
          <w:b w:val="0"/>
          <w:caps w:val="0"/>
        </w:rPr>
        <w:t>-</w:t>
      </w:r>
      <w:r w:rsidR="00762552">
        <w:rPr>
          <w:b w:val="0"/>
          <w:caps w:val="0"/>
        </w:rPr>
        <w:t xml:space="preserve"> </w:t>
      </w:r>
      <w:r w:rsidR="00323503">
        <w:rPr>
          <w:b w:val="0"/>
          <w:caps w:val="0"/>
        </w:rPr>
        <w:t>Áreas de aplicação dos recursos no ano 2017..</w:t>
      </w:r>
      <w:r w:rsidR="00762552">
        <w:rPr>
          <w:b w:val="0"/>
          <w:caps w:val="0"/>
        </w:rPr>
        <w:t>.....</w:t>
      </w:r>
      <w:r>
        <w:rPr>
          <w:b w:val="0"/>
          <w:caps w:val="0"/>
        </w:rPr>
        <w:t>..</w:t>
      </w:r>
      <w:r w:rsidR="00762552">
        <w:rPr>
          <w:b w:val="0"/>
          <w:caps w:val="0"/>
        </w:rPr>
        <w:t>.......</w:t>
      </w:r>
      <w:r w:rsidR="00861476">
        <w:rPr>
          <w:b w:val="0"/>
          <w:caps w:val="0"/>
        </w:rPr>
        <w:t>.</w:t>
      </w:r>
      <w:r w:rsidR="00762552">
        <w:rPr>
          <w:b w:val="0"/>
          <w:caps w:val="0"/>
        </w:rPr>
        <w:t>.....</w:t>
      </w:r>
      <w:r w:rsidR="009F362D">
        <w:rPr>
          <w:b w:val="0"/>
          <w:caps w:val="0"/>
        </w:rPr>
        <w:t>..............................42</w:t>
      </w:r>
      <w:r w:rsidR="00762552" w:rsidRPr="00762552">
        <w:rPr>
          <w:b w:val="0"/>
          <w:caps w:val="0"/>
        </w:rPr>
        <w:t xml:space="preserve"> </w:t>
      </w:r>
    </w:p>
    <w:p w14:paraId="39610B81" w14:textId="79F65889" w:rsidR="00762552" w:rsidRDefault="00191385" w:rsidP="00762552">
      <w:pPr>
        <w:pStyle w:val="Ttulospr-textuais"/>
        <w:tabs>
          <w:tab w:val="left" w:leader="dot" w:pos="8647"/>
        </w:tabs>
        <w:spacing w:before="120" w:after="120" w:line="360" w:lineRule="auto"/>
        <w:jc w:val="left"/>
        <w:rPr>
          <w:b w:val="0"/>
          <w:caps w:val="0"/>
        </w:rPr>
      </w:pPr>
      <w:r>
        <w:rPr>
          <w:b w:val="0"/>
          <w:caps w:val="0"/>
        </w:rPr>
        <w:t xml:space="preserve">Gráfico </w:t>
      </w:r>
      <w:r w:rsidR="00323503">
        <w:rPr>
          <w:b w:val="0"/>
          <w:caps w:val="0"/>
        </w:rPr>
        <w:t>3</w:t>
      </w:r>
      <w:r w:rsidR="00762552">
        <w:rPr>
          <w:b w:val="0"/>
          <w:caps w:val="0"/>
        </w:rPr>
        <w:t xml:space="preserve"> </w:t>
      </w:r>
      <w:r w:rsidR="00861476">
        <w:rPr>
          <w:b w:val="0"/>
          <w:caps w:val="0"/>
        </w:rPr>
        <w:t>-</w:t>
      </w:r>
      <w:r w:rsidR="00762552">
        <w:rPr>
          <w:b w:val="0"/>
          <w:caps w:val="0"/>
        </w:rPr>
        <w:t xml:space="preserve"> </w:t>
      </w:r>
      <w:r w:rsidR="00323503">
        <w:rPr>
          <w:b w:val="0"/>
          <w:caps w:val="0"/>
        </w:rPr>
        <w:t>Percentual de cada mod</w:t>
      </w:r>
      <w:r>
        <w:rPr>
          <w:b w:val="0"/>
          <w:caps w:val="0"/>
        </w:rPr>
        <w:t>alidade de licitação no ao 2017</w:t>
      </w:r>
      <w:r w:rsidR="00323503">
        <w:rPr>
          <w:b w:val="0"/>
          <w:caps w:val="0"/>
        </w:rPr>
        <w:t>.</w:t>
      </w:r>
      <w:r>
        <w:rPr>
          <w:b w:val="0"/>
          <w:caps w:val="0"/>
        </w:rPr>
        <w:t>...</w:t>
      </w:r>
      <w:r w:rsidR="00762552">
        <w:rPr>
          <w:b w:val="0"/>
          <w:caps w:val="0"/>
        </w:rPr>
        <w:t>......</w:t>
      </w:r>
      <w:r w:rsidR="00323503">
        <w:rPr>
          <w:b w:val="0"/>
          <w:caps w:val="0"/>
        </w:rPr>
        <w:t>...</w:t>
      </w:r>
      <w:r w:rsidR="00861476">
        <w:rPr>
          <w:b w:val="0"/>
          <w:caps w:val="0"/>
        </w:rPr>
        <w:t>.</w:t>
      </w:r>
      <w:r w:rsidR="00323503">
        <w:rPr>
          <w:b w:val="0"/>
          <w:caps w:val="0"/>
        </w:rPr>
        <w:t>.............</w:t>
      </w:r>
      <w:r w:rsidR="009F362D">
        <w:rPr>
          <w:b w:val="0"/>
          <w:caps w:val="0"/>
        </w:rPr>
        <w:t>.........43</w:t>
      </w:r>
    </w:p>
    <w:p w14:paraId="483640F2" w14:textId="5D1C3EF1" w:rsidR="00762552" w:rsidRDefault="00191385" w:rsidP="00762552">
      <w:pPr>
        <w:pStyle w:val="Ttulospr-textuais"/>
        <w:tabs>
          <w:tab w:val="left" w:leader="dot" w:pos="8647"/>
        </w:tabs>
        <w:spacing w:before="120" w:after="120" w:line="360" w:lineRule="auto"/>
        <w:jc w:val="left"/>
        <w:rPr>
          <w:b w:val="0"/>
          <w:caps w:val="0"/>
        </w:rPr>
      </w:pPr>
      <w:r>
        <w:rPr>
          <w:b w:val="0"/>
          <w:caps w:val="0"/>
        </w:rPr>
        <w:t xml:space="preserve">Gráfico </w:t>
      </w:r>
      <w:r w:rsidR="00323503">
        <w:rPr>
          <w:b w:val="0"/>
          <w:caps w:val="0"/>
        </w:rPr>
        <w:t>4</w:t>
      </w:r>
      <w:r w:rsidR="00762552">
        <w:rPr>
          <w:b w:val="0"/>
          <w:caps w:val="0"/>
        </w:rPr>
        <w:t xml:space="preserve"> </w:t>
      </w:r>
      <w:r w:rsidR="00861476">
        <w:rPr>
          <w:b w:val="0"/>
          <w:caps w:val="0"/>
        </w:rPr>
        <w:t>-</w:t>
      </w:r>
      <w:r w:rsidR="00762552">
        <w:rPr>
          <w:b w:val="0"/>
          <w:caps w:val="0"/>
        </w:rPr>
        <w:t xml:space="preserve"> </w:t>
      </w:r>
      <w:r w:rsidR="00323503">
        <w:rPr>
          <w:b w:val="0"/>
          <w:caps w:val="0"/>
        </w:rPr>
        <w:t xml:space="preserve">Quantidade de participações vencedoras por região </w:t>
      </w:r>
      <w:r>
        <w:rPr>
          <w:b w:val="0"/>
          <w:caps w:val="0"/>
        </w:rPr>
        <w:t>no ano 2017...</w:t>
      </w:r>
      <w:r w:rsidR="00861476">
        <w:rPr>
          <w:b w:val="0"/>
          <w:caps w:val="0"/>
        </w:rPr>
        <w:t>..............</w:t>
      </w:r>
      <w:r w:rsidR="009F362D">
        <w:rPr>
          <w:b w:val="0"/>
          <w:caps w:val="0"/>
        </w:rPr>
        <w:t>....44</w:t>
      </w:r>
    </w:p>
    <w:p w14:paraId="4E32C159" w14:textId="62A6C8B7" w:rsidR="00762552" w:rsidRDefault="00191385" w:rsidP="00762552">
      <w:pPr>
        <w:pStyle w:val="Ttulospr-textuais"/>
        <w:tabs>
          <w:tab w:val="left" w:leader="dot" w:pos="8647"/>
        </w:tabs>
        <w:spacing w:before="120" w:after="120" w:line="360" w:lineRule="auto"/>
        <w:jc w:val="left"/>
        <w:rPr>
          <w:b w:val="0"/>
          <w:caps w:val="0"/>
        </w:rPr>
      </w:pPr>
      <w:r>
        <w:rPr>
          <w:b w:val="0"/>
          <w:caps w:val="0"/>
        </w:rPr>
        <w:t xml:space="preserve">Gráfico </w:t>
      </w:r>
      <w:r w:rsidR="00861476">
        <w:rPr>
          <w:b w:val="0"/>
          <w:caps w:val="0"/>
        </w:rPr>
        <w:t>5</w:t>
      </w:r>
      <w:r w:rsidR="00762552">
        <w:rPr>
          <w:b w:val="0"/>
          <w:caps w:val="0"/>
        </w:rPr>
        <w:t xml:space="preserve"> - Valor das </w:t>
      </w:r>
      <w:r w:rsidR="00861476">
        <w:rPr>
          <w:b w:val="0"/>
          <w:caps w:val="0"/>
        </w:rPr>
        <w:t>empresas ve</w:t>
      </w:r>
      <w:r>
        <w:rPr>
          <w:b w:val="0"/>
          <w:caps w:val="0"/>
        </w:rPr>
        <w:t>ncedoras por região no ano 2017...</w:t>
      </w:r>
      <w:r w:rsidR="00861476">
        <w:rPr>
          <w:b w:val="0"/>
          <w:caps w:val="0"/>
        </w:rPr>
        <w:t>.........................</w:t>
      </w:r>
      <w:r w:rsidR="009F362D">
        <w:rPr>
          <w:b w:val="0"/>
          <w:caps w:val="0"/>
        </w:rPr>
        <w:t>.......45</w:t>
      </w:r>
    </w:p>
    <w:p w14:paraId="78D6D964" w14:textId="7FE1311D" w:rsidR="00762552" w:rsidRDefault="00191385" w:rsidP="00762552">
      <w:pPr>
        <w:pStyle w:val="Ttulospr-textuais"/>
        <w:tabs>
          <w:tab w:val="left" w:leader="dot" w:pos="8647"/>
        </w:tabs>
        <w:spacing w:before="120" w:after="120" w:line="360" w:lineRule="auto"/>
        <w:jc w:val="left"/>
        <w:rPr>
          <w:b w:val="0"/>
          <w:caps w:val="0"/>
        </w:rPr>
      </w:pPr>
      <w:r>
        <w:rPr>
          <w:b w:val="0"/>
          <w:caps w:val="0"/>
        </w:rPr>
        <w:t xml:space="preserve">Gráfico </w:t>
      </w:r>
      <w:r w:rsidR="00861476">
        <w:rPr>
          <w:b w:val="0"/>
          <w:caps w:val="0"/>
        </w:rPr>
        <w:t>6</w:t>
      </w:r>
      <w:r w:rsidR="00762552">
        <w:rPr>
          <w:b w:val="0"/>
          <w:caps w:val="0"/>
        </w:rPr>
        <w:t xml:space="preserve"> </w:t>
      </w:r>
      <w:r w:rsidR="00861476">
        <w:rPr>
          <w:b w:val="0"/>
          <w:caps w:val="0"/>
        </w:rPr>
        <w:t>-</w:t>
      </w:r>
      <w:r w:rsidR="00762552">
        <w:rPr>
          <w:b w:val="0"/>
          <w:caps w:val="0"/>
        </w:rPr>
        <w:t xml:space="preserve"> </w:t>
      </w:r>
      <w:r w:rsidR="00861476">
        <w:rPr>
          <w:b w:val="0"/>
          <w:caps w:val="0"/>
        </w:rPr>
        <w:t>Quantidade de participaçõe</w:t>
      </w:r>
      <w:r>
        <w:rPr>
          <w:b w:val="0"/>
          <w:caps w:val="0"/>
        </w:rPr>
        <w:t>s ME/EPP por região no ano 2017...</w:t>
      </w:r>
      <w:r w:rsidR="00861476">
        <w:rPr>
          <w:b w:val="0"/>
          <w:caps w:val="0"/>
        </w:rPr>
        <w:t>.</w:t>
      </w:r>
      <w:r w:rsidR="00762552">
        <w:rPr>
          <w:b w:val="0"/>
          <w:caps w:val="0"/>
        </w:rPr>
        <w:t>......</w:t>
      </w:r>
      <w:r w:rsidR="00861476">
        <w:rPr>
          <w:b w:val="0"/>
          <w:caps w:val="0"/>
        </w:rPr>
        <w:t>........</w:t>
      </w:r>
      <w:r w:rsidR="009F362D">
        <w:rPr>
          <w:b w:val="0"/>
          <w:caps w:val="0"/>
        </w:rPr>
        <w:t>.......46</w:t>
      </w:r>
    </w:p>
    <w:p w14:paraId="4C0CBDE5" w14:textId="4CB5BB1F" w:rsidR="00762552" w:rsidRDefault="00191385" w:rsidP="00762552">
      <w:pPr>
        <w:pStyle w:val="Ttulospr-textuais"/>
        <w:tabs>
          <w:tab w:val="left" w:leader="dot" w:pos="8647"/>
        </w:tabs>
        <w:spacing w:before="120" w:after="120" w:line="360" w:lineRule="auto"/>
        <w:jc w:val="left"/>
        <w:rPr>
          <w:b w:val="0"/>
          <w:caps w:val="0"/>
        </w:rPr>
      </w:pPr>
      <w:r>
        <w:rPr>
          <w:b w:val="0"/>
          <w:caps w:val="0"/>
        </w:rPr>
        <w:t xml:space="preserve">Gráfico </w:t>
      </w:r>
      <w:r w:rsidR="00861476">
        <w:rPr>
          <w:b w:val="0"/>
          <w:caps w:val="0"/>
        </w:rPr>
        <w:t>7</w:t>
      </w:r>
      <w:r w:rsidR="00762552">
        <w:rPr>
          <w:b w:val="0"/>
          <w:caps w:val="0"/>
        </w:rPr>
        <w:t xml:space="preserve"> - Valor das </w:t>
      </w:r>
      <w:r w:rsidR="00861476">
        <w:rPr>
          <w:b w:val="0"/>
          <w:caps w:val="0"/>
        </w:rPr>
        <w:t>empresa</w:t>
      </w:r>
      <w:r>
        <w:rPr>
          <w:b w:val="0"/>
          <w:caps w:val="0"/>
        </w:rPr>
        <w:t>s ME/EPP por região no ano 2017...</w:t>
      </w:r>
      <w:r w:rsidR="00861476">
        <w:rPr>
          <w:b w:val="0"/>
          <w:caps w:val="0"/>
        </w:rPr>
        <w:t>.............</w:t>
      </w:r>
      <w:r w:rsidR="00762552">
        <w:rPr>
          <w:b w:val="0"/>
          <w:caps w:val="0"/>
        </w:rPr>
        <w:t>.....</w:t>
      </w:r>
      <w:r w:rsidR="009F362D">
        <w:rPr>
          <w:b w:val="0"/>
          <w:caps w:val="0"/>
        </w:rPr>
        <w:t>..................46</w:t>
      </w:r>
    </w:p>
    <w:p w14:paraId="42060AD1" w14:textId="01E3D00C" w:rsidR="00762552" w:rsidRDefault="00191385" w:rsidP="00762552">
      <w:pPr>
        <w:pStyle w:val="Ttulospr-textuais"/>
        <w:tabs>
          <w:tab w:val="left" w:leader="dot" w:pos="8647"/>
        </w:tabs>
        <w:spacing w:before="120" w:after="120" w:line="360" w:lineRule="auto"/>
        <w:jc w:val="left"/>
        <w:rPr>
          <w:b w:val="0"/>
          <w:caps w:val="0"/>
        </w:rPr>
      </w:pPr>
      <w:r>
        <w:rPr>
          <w:b w:val="0"/>
          <w:caps w:val="0"/>
        </w:rPr>
        <w:t xml:space="preserve">Gráfico </w:t>
      </w:r>
      <w:r w:rsidR="00861476">
        <w:rPr>
          <w:b w:val="0"/>
          <w:caps w:val="0"/>
        </w:rPr>
        <w:t>8</w:t>
      </w:r>
      <w:r w:rsidR="00762552">
        <w:rPr>
          <w:b w:val="0"/>
          <w:caps w:val="0"/>
        </w:rPr>
        <w:t xml:space="preserve"> - Valor </w:t>
      </w:r>
      <w:r w:rsidR="00861476">
        <w:rPr>
          <w:b w:val="0"/>
          <w:caps w:val="0"/>
        </w:rPr>
        <w:t>total / economia no ano 2018</w:t>
      </w:r>
      <w:r>
        <w:rPr>
          <w:b w:val="0"/>
          <w:caps w:val="0"/>
        </w:rPr>
        <w:t>...</w:t>
      </w:r>
      <w:r w:rsidR="00762552">
        <w:rPr>
          <w:b w:val="0"/>
          <w:caps w:val="0"/>
        </w:rPr>
        <w:t>......................................</w:t>
      </w:r>
      <w:r w:rsidR="00861476">
        <w:rPr>
          <w:b w:val="0"/>
          <w:caps w:val="0"/>
        </w:rPr>
        <w:t>.........................</w:t>
      </w:r>
      <w:r w:rsidR="009F362D">
        <w:rPr>
          <w:b w:val="0"/>
          <w:caps w:val="0"/>
        </w:rPr>
        <w:t>.47</w:t>
      </w:r>
    </w:p>
    <w:p w14:paraId="196747FB" w14:textId="2A483C37" w:rsidR="00762552" w:rsidRDefault="00191385" w:rsidP="00762552">
      <w:pPr>
        <w:pStyle w:val="Ttulospr-textuais"/>
        <w:tabs>
          <w:tab w:val="left" w:leader="dot" w:pos="8647"/>
        </w:tabs>
        <w:spacing w:before="120" w:after="120" w:line="360" w:lineRule="auto"/>
        <w:jc w:val="left"/>
        <w:rPr>
          <w:b w:val="0"/>
          <w:caps w:val="0"/>
        </w:rPr>
      </w:pPr>
      <w:r>
        <w:rPr>
          <w:b w:val="0"/>
          <w:caps w:val="0"/>
        </w:rPr>
        <w:t xml:space="preserve">Gráfico </w:t>
      </w:r>
      <w:r w:rsidR="00861476">
        <w:rPr>
          <w:b w:val="0"/>
          <w:caps w:val="0"/>
        </w:rPr>
        <w:t>9</w:t>
      </w:r>
      <w:r w:rsidR="00762552">
        <w:rPr>
          <w:b w:val="0"/>
          <w:caps w:val="0"/>
        </w:rPr>
        <w:t xml:space="preserve"> </w:t>
      </w:r>
      <w:r w:rsidR="00861476">
        <w:rPr>
          <w:b w:val="0"/>
          <w:caps w:val="0"/>
        </w:rPr>
        <w:t>-</w:t>
      </w:r>
      <w:r w:rsidR="00762552">
        <w:rPr>
          <w:b w:val="0"/>
          <w:caps w:val="0"/>
        </w:rPr>
        <w:t xml:space="preserve"> </w:t>
      </w:r>
      <w:r w:rsidR="00861476">
        <w:rPr>
          <w:b w:val="0"/>
          <w:caps w:val="0"/>
        </w:rPr>
        <w:t>Áreas de apl</w:t>
      </w:r>
      <w:r>
        <w:rPr>
          <w:b w:val="0"/>
          <w:caps w:val="0"/>
        </w:rPr>
        <w:t>icação dos recursos no ano 2018...</w:t>
      </w:r>
      <w:r w:rsidR="00861476">
        <w:rPr>
          <w:b w:val="0"/>
          <w:caps w:val="0"/>
        </w:rPr>
        <w:t>.</w:t>
      </w:r>
      <w:r w:rsidR="00762552">
        <w:rPr>
          <w:b w:val="0"/>
          <w:caps w:val="0"/>
        </w:rPr>
        <w:t>......................................</w:t>
      </w:r>
      <w:r w:rsidR="00861476">
        <w:rPr>
          <w:b w:val="0"/>
          <w:caps w:val="0"/>
        </w:rPr>
        <w:t>........</w:t>
      </w:r>
      <w:r w:rsidR="009F362D">
        <w:rPr>
          <w:b w:val="0"/>
          <w:caps w:val="0"/>
        </w:rPr>
        <w:t>..48</w:t>
      </w:r>
    </w:p>
    <w:p w14:paraId="6272C740" w14:textId="6C01B090" w:rsidR="00762552" w:rsidRDefault="00762552" w:rsidP="00762552">
      <w:pPr>
        <w:pStyle w:val="Ttulospr-textuais"/>
        <w:tabs>
          <w:tab w:val="left" w:leader="dot" w:pos="8647"/>
        </w:tabs>
        <w:spacing w:before="120" w:after="120" w:line="360" w:lineRule="auto"/>
        <w:jc w:val="left"/>
        <w:rPr>
          <w:b w:val="0"/>
          <w:caps w:val="0"/>
        </w:rPr>
      </w:pPr>
      <w:r>
        <w:rPr>
          <w:b w:val="0"/>
          <w:caps w:val="0"/>
        </w:rPr>
        <w:t>G</w:t>
      </w:r>
      <w:r w:rsidR="00861476">
        <w:rPr>
          <w:b w:val="0"/>
          <w:caps w:val="0"/>
        </w:rPr>
        <w:t>ráfico 10</w:t>
      </w:r>
      <w:r>
        <w:rPr>
          <w:b w:val="0"/>
          <w:caps w:val="0"/>
        </w:rPr>
        <w:t xml:space="preserve"> - Valor </w:t>
      </w:r>
      <w:r w:rsidR="00861476">
        <w:rPr>
          <w:b w:val="0"/>
          <w:caps w:val="0"/>
        </w:rPr>
        <w:t>total / economia no ano 2018</w:t>
      </w:r>
      <w:r w:rsidR="00191385">
        <w:rPr>
          <w:b w:val="0"/>
          <w:caps w:val="0"/>
        </w:rPr>
        <w:t>.</w:t>
      </w:r>
      <w:r>
        <w:rPr>
          <w:b w:val="0"/>
          <w:caps w:val="0"/>
        </w:rPr>
        <w:t>......................................</w:t>
      </w:r>
      <w:r w:rsidR="00861476">
        <w:rPr>
          <w:b w:val="0"/>
          <w:caps w:val="0"/>
        </w:rPr>
        <w:t>..........................</w:t>
      </w:r>
      <w:r w:rsidR="009F362D">
        <w:rPr>
          <w:b w:val="0"/>
          <w:caps w:val="0"/>
        </w:rPr>
        <w:t>49</w:t>
      </w:r>
    </w:p>
    <w:p w14:paraId="4F75D72A" w14:textId="12ECAC69" w:rsidR="00762552" w:rsidRDefault="00861476" w:rsidP="00762552">
      <w:pPr>
        <w:pStyle w:val="Ttulospr-textuais"/>
        <w:tabs>
          <w:tab w:val="left" w:leader="dot" w:pos="8647"/>
        </w:tabs>
        <w:spacing w:before="120" w:after="120" w:line="360" w:lineRule="auto"/>
        <w:jc w:val="left"/>
        <w:rPr>
          <w:b w:val="0"/>
          <w:caps w:val="0"/>
        </w:rPr>
      </w:pPr>
      <w:r>
        <w:rPr>
          <w:b w:val="0"/>
          <w:caps w:val="0"/>
        </w:rPr>
        <w:t>Gráfico 1</w:t>
      </w:r>
      <w:r w:rsidR="00762552">
        <w:rPr>
          <w:b w:val="0"/>
          <w:caps w:val="0"/>
        </w:rPr>
        <w:t xml:space="preserve">1 </w:t>
      </w:r>
      <w:r>
        <w:rPr>
          <w:b w:val="0"/>
          <w:caps w:val="0"/>
        </w:rPr>
        <w:t>-</w:t>
      </w:r>
      <w:r w:rsidR="00762552">
        <w:rPr>
          <w:b w:val="0"/>
          <w:caps w:val="0"/>
        </w:rPr>
        <w:t xml:space="preserve"> </w:t>
      </w:r>
      <w:r>
        <w:rPr>
          <w:b w:val="0"/>
          <w:caps w:val="0"/>
        </w:rPr>
        <w:t>Quantidade de participações vencedo</w:t>
      </w:r>
      <w:r w:rsidR="00191385">
        <w:rPr>
          <w:b w:val="0"/>
          <w:caps w:val="0"/>
        </w:rPr>
        <w:t>ras por região no ano 2018.</w:t>
      </w:r>
      <w:r>
        <w:rPr>
          <w:b w:val="0"/>
          <w:caps w:val="0"/>
        </w:rPr>
        <w:t>.</w:t>
      </w:r>
      <w:r w:rsidR="00762552">
        <w:rPr>
          <w:b w:val="0"/>
          <w:caps w:val="0"/>
        </w:rPr>
        <w:t>......</w:t>
      </w:r>
      <w:r>
        <w:rPr>
          <w:b w:val="0"/>
          <w:caps w:val="0"/>
        </w:rPr>
        <w:t>...........</w:t>
      </w:r>
      <w:r w:rsidR="009F362D">
        <w:rPr>
          <w:b w:val="0"/>
          <w:caps w:val="0"/>
        </w:rPr>
        <w:t>50</w:t>
      </w:r>
    </w:p>
    <w:p w14:paraId="5A9D5536" w14:textId="140D1557" w:rsidR="00762552" w:rsidRDefault="0005301D" w:rsidP="00762552">
      <w:pPr>
        <w:pStyle w:val="Ttulospr-textuais"/>
        <w:tabs>
          <w:tab w:val="left" w:leader="dot" w:pos="8647"/>
        </w:tabs>
        <w:spacing w:before="120" w:after="120" w:line="360" w:lineRule="auto"/>
        <w:jc w:val="left"/>
        <w:rPr>
          <w:b w:val="0"/>
          <w:caps w:val="0"/>
        </w:rPr>
      </w:pPr>
      <w:r>
        <w:rPr>
          <w:b w:val="0"/>
          <w:caps w:val="0"/>
        </w:rPr>
        <w:t>Gráfico 12</w:t>
      </w:r>
      <w:r w:rsidR="00762552">
        <w:rPr>
          <w:b w:val="0"/>
          <w:caps w:val="0"/>
        </w:rPr>
        <w:t xml:space="preserve"> - Valor das </w:t>
      </w:r>
      <w:r>
        <w:rPr>
          <w:b w:val="0"/>
          <w:caps w:val="0"/>
        </w:rPr>
        <w:t>empresas ve</w:t>
      </w:r>
      <w:r w:rsidR="00191385">
        <w:rPr>
          <w:b w:val="0"/>
          <w:caps w:val="0"/>
        </w:rPr>
        <w:t>ncedoras por região no ano 2018.</w:t>
      </w:r>
      <w:r>
        <w:rPr>
          <w:b w:val="0"/>
          <w:caps w:val="0"/>
        </w:rPr>
        <w:t>.</w:t>
      </w:r>
      <w:r w:rsidR="00762552">
        <w:rPr>
          <w:b w:val="0"/>
          <w:caps w:val="0"/>
        </w:rPr>
        <w:t>......</w:t>
      </w:r>
      <w:r>
        <w:rPr>
          <w:b w:val="0"/>
          <w:caps w:val="0"/>
        </w:rPr>
        <w:t>.................</w:t>
      </w:r>
      <w:r w:rsidR="009F362D">
        <w:rPr>
          <w:b w:val="0"/>
          <w:caps w:val="0"/>
        </w:rPr>
        <w:t>........51</w:t>
      </w:r>
    </w:p>
    <w:p w14:paraId="192150E1" w14:textId="2329D18E" w:rsidR="00762552" w:rsidRDefault="0005301D" w:rsidP="00762552">
      <w:pPr>
        <w:pStyle w:val="Ttulospr-textuais"/>
        <w:tabs>
          <w:tab w:val="left" w:leader="dot" w:pos="8647"/>
        </w:tabs>
        <w:spacing w:before="120" w:after="120" w:line="360" w:lineRule="auto"/>
        <w:jc w:val="left"/>
        <w:rPr>
          <w:b w:val="0"/>
          <w:caps w:val="0"/>
        </w:rPr>
      </w:pPr>
      <w:r>
        <w:rPr>
          <w:b w:val="0"/>
          <w:caps w:val="0"/>
        </w:rPr>
        <w:t>Gráfico 13</w:t>
      </w:r>
      <w:r w:rsidR="00762552">
        <w:rPr>
          <w:b w:val="0"/>
          <w:caps w:val="0"/>
        </w:rPr>
        <w:t xml:space="preserve"> </w:t>
      </w:r>
      <w:r>
        <w:rPr>
          <w:b w:val="0"/>
          <w:caps w:val="0"/>
        </w:rPr>
        <w:t>-</w:t>
      </w:r>
      <w:r w:rsidR="00762552">
        <w:rPr>
          <w:b w:val="0"/>
          <w:caps w:val="0"/>
        </w:rPr>
        <w:t xml:space="preserve"> </w:t>
      </w:r>
      <w:r>
        <w:rPr>
          <w:b w:val="0"/>
          <w:caps w:val="0"/>
        </w:rPr>
        <w:t>Quantidade de participaçõe</w:t>
      </w:r>
      <w:r w:rsidR="00191385">
        <w:rPr>
          <w:b w:val="0"/>
          <w:caps w:val="0"/>
        </w:rPr>
        <w:t>s ME/EPP por região no ano 2018.</w:t>
      </w:r>
      <w:r>
        <w:rPr>
          <w:b w:val="0"/>
          <w:caps w:val="0"/>
        </w:rPr>
        <w:t>.</w:t>
      </w:r>
      <w:r w:rsidR="00762552">
        <w:rPr>
          <w:b w:val="0"/>
          <w:caps w:val="0"/>
        </w:rPr>
        <w:t>......</w:t>
      </w:r>
      <w:r>
        <w:rPr>
          <w:b w:val="0"/>
          <w:caps w:val="0"/>
        </w:rPr>
        <w:t>...</w:t>
      </w:r>
      <w:r w:rsidR="009F362D">
        <w:rPr>
          <w:b w:val="0"/>
          <w:caps w:val="0"/>
        </w:rPr>
        <w:t>............52</w:t>
      </w:r>
    </w:p>
    <w:p w14:paraId="579B2AA5" w14:textId="148B1CF7" w:rsidR="00762552" w:rsidRDefault="0005301D" w:rsidP="00762552">
      <w:pPr>
        <w:pStyle w:val="Ttulospr-textuais"/>
        <w:tabs>
          <w:tab w:val="left" w:leader="dot" w:pos="8647"/>
        </w:tabs>
        <w:spacing w:before="120" w:after="120" w:line="360" w:lineRule="auto"/>
        <w:jc w:val="left"/>
        <w:rPr>
          <w:b w:val="0"/>
          <w:caps w:val="0"/>
        </w:rPr>
      </w:pPr>
      <w:r>
        <w:rPr>
          <w:b w:val="0"/>
          <w:caps w:val="0"/>
        </w:rPr>
        <w:t>Gráfico 14</w:t>
      </w:r>
      <w:r w:rsidR="00762552">
        <w:rPr>
          <w:b w:val="0"/>
          <w:caps w:val="0"/>
        </w:rPr>
        <w:t xml:space="preserve"> - Valor das </w:t>
      </w:r>
      <w:r>
        <w:rPr>
          <w:b w:val="0"/>
          <w:caps w:val="0"/>
        </w:rPr>
        <w:t>empresa</w:t>
      </w:r>
      <w:r w:rsidR="00191385">
        <w:rPr>
          <w:b w:val="0"/>
          <w:caps w:val="0"/>
        </w:rPr>
        <w:t>s ME/EPP por região no ano 2018.</w:t>
      </w:r>
      <w:r>
        <w:rPr>
          <w:b w:val="0"/>
          <w:caps w:val="0"/>
        </w:rPr>
        <w:t>.</w:t>
      </w:r>
      <w:r w:rsidR="00762552">
        <w:rPr>
          <w:b w:val="0"/>
          <w:caps w:val="0"/>
        </w:rPr>
        <w:t>......</w:t>
      </w:r>
      <w:r>
        <w:rPr>
          <w:b w:val="0"/>
          <w:caps w:val="0"/>
        </w:rPr>
        <w:t>.........................</w:t>
      </w:r>
      <w:r w:rsidR="009F362D">
        <w:rPr>
          <w:b w:val="0"/>
          <w:caps w:val="0"/>
        </w:rPr>
        <w:t>....52</w:t>
      </w:r>
    </w:p>
    <w:p w14:paraId="1D28B8C2" w14:textId="07DFDC22" w:rsidR="00762552" w:rsidRDefault="0005301D" w:rsidP="00762552">
      <w:pPr>
        <w:pStyle w:val="Ttulospr-textuais"/>
        <w:tabs>
          <w:tab w:val="left" w:leader="dot" w:pos="8647"/>
        </w:tabs>
        <w:spacing w:before="120" w:after="120" w:line="360" w:lineRule="auto"/>
        <w:jc w:val="left"/>
        <w:rPr>
          <w:b w:val="0"/>
          <w:caps w:val="0"/>
        </w:rPr>
      </w:pPr>
      <w:r>
        <w:rPr>
          <w:b w:val="0"/>
          <w:caps w:val="0"/>
        </w:rPr>
        <w:t>Gráfico 15</w:t>
      </w:r>
      <w:r w:rsidR="00762552">
        <w:rPr>
          <w:b w:val="0"/>
          <w:caps w:val="0"/>
        </w:rPr>
        <w:t xml:space="preserve"> - Valor </w:t>
      </w:r>
      <w:r w:rsidR="00191385">
        <w:rPr>
          <w:b w:val="0"/>
          <w:caps w:val="0"/>
        </w:rPr>
        <w:t>total / economia no ano 2019.</w:t>
      </w:r>
      <w:r>
        <w:rPr>
          <w:b w:val="0"/>
          <w:caps w:val="0"/>
        </w:rPr>
        <w:t>.</w:t>
      </w:r>
      <w:r w:rsidR="00762552">
        <w:rPr>
          <w:b w:val="0"/>
          <w:caps w:val="0"/>
        </w:rPr>
        <w:t>......................................</w:t>
      </w:r>
      <w:r>
        <w:rPr>
          <w:b w:val="0"/>
          <w:caps w:val="0"/>
        </w:rPr>
        <w:t>...............</w:t>
      </w:r>
      <w:r w:rsidR="009F362D">
        <w:rPr>
          <w:b w:val="0"/>
          <w:caps w:val="0"/>
        </w:rPr>
        <w:t>..........53</w:t>
      </w:r>
    </w:p>
    <w:p w14:paraId="363321A2" w14:textId="128A2DC7" w:rsidR="00762552" w:rsidRDefault="0005301D" w:rsidP="00762552">
      <w:pPr>
        <w:pStyle w:val="Ttulospr-textuais"/>
        <w:tabs>
          <w:tab w:val="left" w:leader="dot" w:pos="8647"/>
        </w:tabs>
        <w:spacing w:before="120" w:after="120" w:line="360" w:lineRule="auto"/>
        <w:jc w:val="left"/>
        <w:rPr>
          <w:b w:val="0"/>
          <w:caps w:val="0"/>
        </w:rPr>
      </w:pPr>
      <w:r>
        <w:rPr>
          <w:b w:val="0"/>
          <w:caps w:val="0"/>
        </w:rPr>
        <w:t>Gráfico 16</w:t>
      </w:r>
      <w:r w:rsidR="00762552">
        <w:rPr>
          <w:b w:val="0"/>
          <w:caps w:val="0"/>
        </w:rPr>
        <w:t xml:space="preserve"> </w:t>
      </w:r>
      <w:r>
        <w:rPr>
          <w:b w:val="0"/>
          <w:caps w:val="0"/>
        </w:rPr>
        <w:t>-</w:t>
      </w:r>
      <w:r w:rsidR="00762552">
        <w:rPr>
          <w:b w:val="0"/>
          <w:caps w:val="0"/>
        </w:rPr>
        <w:t xml:space="preserve"> </w:t>
      </w:r>
      <w:r>
        <w:rPr>
          <w:b w:val="0"/>
          <w:caps w:val="0"/>
        </w:rPr>
        <w:t>Áreas de aplicação dos recursos no an</w:t>
      </w:r>
      <w:r w:rsidR="00191385">
        <w:rPr>
          <w:b w:val="0"/>
          <w:caps w:val="0"/>
        </w:rPr>
        <w:t>o 2019.</w:t>
      </w:r>
      <w:r>
        <w:rPr>
          <w:b w:val="0"/>
          <w:caps w:val="0"/>
        </w:rPr>
        <w:t>.</w:t>
      </w:r>
      <w:r w:rsidR="00762552">
        <w:rPr>
          <w:b w:val="0"/>
          <w:caps w:val="0"/>
        </w:rPr>
        <w:t>.....................</w:t>
      </w:r>
      <w:r>
        <w:rPr>
          <w:b w:val="0"/>
          <w:caps w:val="0"/>
        </w:rPr>
        <w:t>........................</w:t>
      </w:r>
      <w:r w:rsidR="009F362D">
        <w:rPr>
          <w:b w:val="0"/>
          <w:caps w:val="0"/>
        </w:rPr>
        <w:t>...54</w:t>
      </w:r>
    </w:p>
    <w:p w14:paraId="4FD5F9A5" w14:textId="61574ACB" w:rsidR="00762552" w:rsidRDefault="0005301D" w:rsidP="00762552">
      <w:pPr>
        <w:pStyle w:val="Ttulospr-textuais"/>
        <w:tabs>
          <w:tab w:val="left" w:leader="dot" w:pos="8647"/>
        </w:tabs>
        <w:spacing w:before="120" w:after="120" w:line="360" w:lineRule="auto"/>
        <w:jc w:val="left"/>
        <w:rPr>
          <w:b w:val="0"/>
          <w:caps w:val="0"/>
        </w:rPr>
      </w:pPr>
      <w:r>
        <w:rPr>
          <w:b w:val="0"/>
          <w:caps w:val="0"/>
        </w:rPr>
        <w:t>Gráfico 17</w:t>
      </w:r>
      <w:r w:rsidR="00762552">
        <w:rPr>
          <w:b w:val="0"/>
          <w:caps w:val="0"/>
        </w:rPr>
        <w:t xml:space="preserve"> - Valor </w:t>
      </w:r>
      <w:r w:rsidR="00191385">
        <w:rPr>
          <w:b w:val="0"/>
          <w:caps w:val="0"/>
        </w:rPr>
        <w:t>total / economia no ano 2019.</w:t>
      </w:r>
      <w:r w:rsidR="0028465A">
        <w:rPr>
          <w:b w:val="0"/>
          <w:caps w:val="0"/>
        </w:rPr>
        <w:t>.</w:t>
      </w:r>
      <w:r w:rsidR="00762552">
        <w:rPr>
          <w:b w:val="0"/>
          <w:caps w:val="0"/>
        </w:rPr>
        <w:t>......................................</w:t>
      </w:r>
      <w:r>
        <w:rPr>
          <w:b w:val="0"/>
          <w:caps w:val="0"/>
        </w:rPr>
        <w:t>.......</w:t>
      </w:r>
      <w:r w:rsidR="009F362D">
        <w:rPr>
          <w:b w:val="0"/>
          <w:caps w:val="0"/>
        </w:rPr>
        <w:t>..................55</w:t>
      </w:r>
    </w:p>
    <w:p w14:paraId="2A7AF851" w14:textId="4561FB8C" w:rsidR="00762552" w:rsidRDefault="0028465A" w:rsidP="00762552">
      <w:pPr>
        <w:pStyle w:val="Ttulospr-textuais"/>
        <w:tabs>
          <w:tab w:val="left" w:leader="dot" w:pos="8647"/>
        </w:tabs>
        <w:spacing w:before="120" w:after="120" w:line="360" w:lineRule="auto"/>
        <w:jc w:val="left"/>
        <w:rPr>
          <w:b w:val="0"/>
          <w:caps w:val="0"/>
        </w:rPr>
      </w:pPr>
      <w:r>
        <w:rPr>
          <w:b w:val="0"/>
          <w:caps w:val="0"/>
        </w:rPr>
        <w:t>Gráfico 18</w:t>
      </w:r>
      <w:r w:rsidR="00762552">
        <w:rPr>
          <w:b w:val="0"/>
          <w:caps w:val="0"/>
        </w:rPr>
        <w:t xml:space="preserve"> </w:t>
      </w:r>
      <w:r>
        <w:rPr>
          <w:b w:val="0"/>
          <w:caps w:val="0"/>
        </w:rPr>
        <w:t>–</w:t>
      </w:r>
      <w:r w:rsidR="00762552">
        <w:rPr>
          <w:b w:val="0"/>
          <w:caps w:val="0"/>
        </w:rPr>
        <w:t xml:space="preserve"> </w:t>
      </w:r>
      <w:r>
        <w:rPr>
          <w:b w:val="0"/>
          <w:caps w:val="0"/>
        </w:rPr>
        <w:t>Quantidade de participações ve</w:t>
      </w:r>
      <w:r w:rsidR="00191385">
        <w:rPr>
          <w:b w:val="0"/>
          <w:caps w:val="0"/>
        </w:rPr>
        <w:t>ncedoras por região no ano 2019.</w:t>
      </w:r>
      <w:r>
        <w:rPr>
          <w:b w:val="0"/>
          <w:caps w:val="0"/>
        </w:rPr>
        <w:t>........</w:t>
      </w:r>
      <w:r w:rsidR="009F362D">
        <w:rPr>
          <w:b w:val="0"/>
          <w:caps w:val="0"/>
        </w:rPr>
        <w:t>.........56</w:t>
      </w:r>
    </w:p>
    <w:p w14:paraId="0D03EA06" w14:textId="4244070B" w:rsidR="00762552" w:rsidRDefault="0028465A" w:rsidP="00762552">
      <w:pPr>
        <w:pStyle w:val="Ttulospr-textuais"/>
        <w:tabs>
          <w:tab w:val="left" w:leader="dot" w:pos="8647"/>
        </w:tabs>
        <w:spacing w:before="120" w:after="120" w:line="360" w:lineRule="auto"/>
        <w:jc w:val="left"/>
        <w:rPr>
          <w:b w:val="0"/>
          <w:caps w:val="0"/>
        </w:rPr>
      </w:pPr>
      <w:r>
        <w:rPr>
          <w:b w:val="0"/>
          <w:caps w:val="0"/>
        </w:rPr>
        <w:t>Gráfico 19</w:t>
      </w:r>
      <w:r w:rsidR="00762552">
        <w:rPr>
          <w:b w:val="0"/>
          <w:caps w:val="0"/>
        </w:rPr>
        <w:t xml:space="preserve"> - Valor das </w:t>
      </w:r>
      <w:r>
        <w:rPr>
          <w:b w:val="0"/>
          <w:caps w:val="0"/>
        </w:rPr>
        <w:t>empresas ve</w:t>
      </w:r>
      <w:r w:rsidR="00191385">
        <w:rPr>
          <w:b w:val="0"/>
          <w:caps w:val="0"/>
        </w:rPr>
        <w:t>ncedoras por região no ano 2019.</w:t>
      </w:r>
      <w:r>
        <w:rPr>
          <w:b w:val="0"/>
          <w:caps w:val="0"/>
        </w:rPr>
        <w:t>...</w:t>
      </w:r>
      <w:r w:rsidR="00762552">
        <w:rPr>
          <w:b w:val="0"/>
          <w:caps w:val="0"/>
        </w:rPr>
        <w:t>......</w:t>
      </w:r>
      <w:r>
        <w:rPr>
          <w:b w:val="0"/>
          <w:caps w:val="0"/>
        </w:rPr>
        <w:t>...............</w:t>
      </w:r>
      <w:r w:rsidR="009F362D">
        <w:rPr>
          <w:b w:val="0"/>
          <w:caps w:val="0"/>
        </w:rPr>
        <w:t>........57</w:t>
      </w:r>
    </w:p>
    <w:p w14:paraId="72338512" w14:textId="6CB74F5E" w:rsidR="00762552" w:rsidRDefault="0028465A" w:rsidP="00762552">
      <w:pPr>
        <w:pStyle w:val="Ttulospr-textuais"/>
        <w:tabs>
          <w:tab w:val="left" w:leader="dot" w:pos="8647"/>
        </w:tabs>
        <w:spacing w:before="120" w:after="120" w:line="360" w:lineRule="auto"/>
        <w:jc w:val="left"/>
        <w:rPr>
          <w:b w:val="0"/>
          <w:caps w:val="0"/>
        </w:rPr>
      </w:pPr>
      <w:r>
        <w:rPr>
          <w:b w:val="0"/>
          <w:caps w:val="0"/>
        </w:rPr>
        <w:t>Gráfico 20</w:t>
      </w:r>
      <w:r w:rsidR="00762552">
        <w:rPr>
          <w:b w:val="0"/>
          <w:caps w:val="0"/>
        </w:rPr>
        <w:t xml:space="preserve"> </w:t>
      </w:r>
      <w:r>
        <w:rPr>
          <w:b w:val="0"/>
          <w:caps w:val="0"/>
        </w:rPr>
        <w:t>-</w:t>
      </w:r>
      <w:r w:rsidR="00762552">
        <w:rPr>
          <w:b w:val="0"/>
          <w:caps w:val="0"/>
        </w:rPr>
        <w:t xml:space="preserve"> </w:t>
      </w:r>
      <w:r>
        <w:rPr>
          <w:b w:val="0"/>
          <w:caps w:val="0"/>
        </w:rPr>
        <w:t>Quantidade de participaçõe</w:t>
      </w:r>
      <w:r w:rsidR="00191385">
        <w:rPr>
          <w:b w:val="0"/>
          <w:caps w:val="0"/>
        </w:rPr>
        <w:t>s ME/EPP por região no ano 2019.</w:t>
      </w:r>
      <w:r>
        <w:rPr>
          <w:b w:val="0"/>
          <w:caps w:val="0"/>
        </w:rPr>
        <w:t>..............</w:t>
      </w:r>
      <w:r w:rsidR="00762552">
        <w:rPr>
          <w:b w:val="0"/>
          <w:caps w:val="0"/>
        </w:rPr>
        <w:t>.....</w:t>
      </w:r>
      <w:r w:rsidR="009F362D">
        <w:rPr>
          <w:b w:val="0"/>
          <w:caps w:val="0"/>
        </w:rPr>
        <w:t>...58</w:t>
      </w:r>
    </w:p>
    <w:p w14:paraId="29F0B722" w14:textId="583A3FAF" w:rsidR="00762552" w:rsidRDefault="0028465A" w:rsidP="00762552">
      <w:pPr>
        <w:pStyle w:val="Ttulospr-textuais"/>
        <w:tabs>
          <w:tab w:val="left" w:leader="dot" w:pos="8647"/>
        </w:tabs>
        <w:spacing w:before="120" w:after="120" w:line="360" w:lineRule="auto"/>
        <w:jc w:val="left"/>
        <w:rPr>
          <w:b w:val="0"/>
          <w:caps w:val="0"/>
        </w:rPr>
      </w:pPr>
      <w:r>
        <w:rPr>
          <w:b w:val="0"/>
          <w:caps w:val="0"/>
        </w:rPr>
        <w:t>Gráfico 2</w:t>
      </w:r>
      <w:r w:rsidR="00762552">
        <w:rPr>
          <w:b w:val="0"/>
          <w:caps w:val="0"/>
        </w:rPr>
        <w:t xml:space="preserve">1 - Valor das </w:t>
      </w:r>
      <w:r>
        <w:rPr>
          <w:b w:val="0"/>
          <w:caps w:val="0"/>
        </w:rPr>
        <w:t>empresas ME/EPP por reg</w:t>
      </w:r>
      <w:r w:rsidR="00191385">
        <w:rPr>
          <w:b w:val="0"/>
          <w:caps w:val="0"/>
        </w:rPr>
        <w:t>ião no ano 2019.</w:t>
      </w:r>
      <w:r>
        <w:rPr>
          <w:b w:val="0"/>
          <w:caps w:val="0"/>
        </w:rPr>
        <w:t>.</w:t>
      </w:r>
      <w:r w:rsidR="00762552">
        <w:rPr>
          <w:b w:val="0"/>
          <w:caps w:val="0"/>
        </w:rPr>
        <w:t>......</w:t>
      </w:r>
      <w:r>
        <w:rPr>
          <w:b w:val="0"/>
          <w:caps w:val="0"/>
        </w:rPr>
        <w:t>...................</w:t>
      </w:r>
      <w:r w:rsidR="009F362D">
        <w:rPr>
          <w:b w:val="0"/>
          <w:caps w:val="0"/>
        </w:rPr>
        <w:t>..........58</w:t>
      </w:r>
    </w:p>
    <w:p w14:paraId="6E9FB282" w14:textId="7C19D00D" w:rsidR="00762552" w:rsidRDefault="0028465A" w:rsidP="00762552">
      <w:pPr>
        <w:pStyle w:val="Ttulospr-textuais"/>
        <w:tabs>
          <w:tab w:val="left" w:leader="dot" w:pos="8647"/>
        </w:tabs>
        <w:spacing w:before="120" w:after="120" w:line="360" w:lineRule="auto"/>
        <w:jc w:val="left"/>
        <w:rPr>
          <w:b w:val="0"/>
          <w:caps w:val="0"/>
        </w:rPr>
      </w:pPr>
      <w:r>
        <w:rPr>
          <w:b w:val="0"/>
          <w:caps w:val="0"/>
        </w:rPr>
        <w:t>Gráfico 22</w:t>
      </w:r>
      <w:r w:rsidR="00762552">
        <w:rPr>
          <w:b w:val="0"/>
          <w:caps w:val="0"/>
        </w:rPr>
        <w:t xml:space="preserve"> - Valor </w:t>
      </w:r>
      <w:r>
        <w:rPr>
          <w:b w:val="0"/>
          <w:caps w:val="0"/>
        </w:rPr>
        <w:t>total / economia no ano 2020</w:t>
      </w:r>
      <w:r w:rsidR="00191385">
        <w:rPr>
          <w:b w:val="0"/>
          <w:caps w:val="0"/>
        </w:rPr>
        <w:t>.</w:t>
      </w:r>
      <w:r w:rsidR="00762552">
        <w:rPr>
          <w:b w:val="0"/>
          <w:caps w:val="0"/>
        </w:rPr>
        <w:t>......................................</w:t>
      </w:r>
      <w:r>
        <w:rPr>
          <w:b w:val="0"/>
          <w:caps w:val="0"/>
        </w:rPr>
        <w:t>.........................</w:t>
      </w:r>
      <w:r w:rsidR="009F362D">
        <w:rPr>
          <w:b w:val="0"/>
          <w:caps w:val="0"/>
        </w:rPr>
        <w:t>.59</w:t>
      </w:r>
    </w:p>
    <w:p w14:paraId="3DF8D70D" w14:textId="0964CC17" w:rsidR="00762552" w:rsidRDefault="0028465A" w:rsidP="00762552">
      <w:pPr>
        <w:pStyle w:val="Ttulospr-textuais"/>
        <w:tabs>
          <w:tab w:val="left" w:leader="dot" w:pos="8647"/>
        </w:tabs>
        <w:spacing w:before="120" w:after="120" w:line="360" w:lineRule="auto"/>
        <w:jc w:val="left"/>
        <w:rPr>
          <w:b w:val="0"/>
          <w:caps w:val="0"/>
        </w:rPr>
      </w:pPr>
      <w:r>
        <w:rPr>
          <w:b w:val="0"/>
          <w:caps w:val="0"/>
        </w:rPr>
        <w:t>Gráfico 23</w:t>
      </w:r>
      <w:r w:rsidR="00762552">
        <w:rPr>
          <w:b w:val="0"/>
          <w:caps w:val="0"/>
        </w:rPr>
        <w:t xml:space="preserve"> </w:t>
      </w:r>
      <w:r>
        <w:rPr>
          <w:b w:val="0"/>
          <w:caps w:val="0"/>
        </w:rPr>
        <w:t>-</w:t>
      </w:r>
      <w:r w:rsidR="00762552">
        <w:rPr>
          <w:b w:val="0"/>
          <w:caps w:val="0"/>
        </w:rPr>
        <w:t xml:space="preserve"> </w:t>
      </w:r>
      <w:r>
        <w:rPr>
          <w:b w:val="0"/>
          <w:caps w:val="0"/>
        </w:rPr>
        <w:t>Áreas de aplicação dos recursos no ano 2020</w:t>
      </w:r>
      <w:r w:rsidR="00191385">
        <w:rPr>
          <w:b w:val="0"/>
          <w:caps w:val="0"/>
        </w:rPr>
        <w:t>.</w:t>
      </w:r>
      <w:r w:rsidR="00762552">
        <w:rPr>
          <w:b w:val="0"/>
          <w:caps w:val="0"/>
        </w:rPr>
        <w:t>.....................................</w:t>
      </w:r>
      <w:r>
        <w:rPr>
          <w:b w:val="0"/>
          <w:caps w:val="0"/>
        </w:rPr>
        <w:t>...........</w:t>
      </w:r>
      <w:r w:rsidR="009F362D">
        <w:rPr>
          <w:b w:val="0"/>
          <w:caps w:val="0"/>
        </w:rPr>
        <w:t>.60</w:t>
      </w:r>
    </w:p>
    <w:p w14:paraId="651002C8" w14:textId="480C2DD3" w:rsidR="00762552" w:rsidRDefault="0028465A" w:rsidP="00762552">
      <w:pPr>
        <w:pStyle w:val="Ttulospr-textuais"/>
        <w:tabs>
          <w:tab w:val="left" w:leader="dot" w:pos="8647"/>
        </w:tabs>
        <w:spacing w:before="120" w:after="120" w:line="360" w:lineRule="auto"/>
        <w:jc w:val="left"/>
        <w:rPr>
          <w:b w:val="0"/>
          <w:caps w:val="0"/>
        </w:rPr>
      </w:pPr>
      <w:r>
        <w:rPr>
          <w:b w:val="0"/>
          <w:caps w:val="0"/>
        </w:rPr>
        <w:t>Gráfico 24</w:t>
      </w:r>
      <w:r w:rsidR="00762552">
        <w:rPr>
          <w:b w:val="0"/>
          <w:caps w:val="0"/>
        </w:rPr>
        <w:t xml:space="preserve"> - Valor </w:t>
      </w:r>
      <w:r>
        <w:rPr>
          <w:b w:val="0"/>
          <w:caps w:val="0"/>
        </w:rPr>
        <w:t>total / economia no ano 2020</w:t>
      </w:r>
      <w:r w:rsidR="00191385">
        <w:rPr>
          <w:b w:val="0"/>
          <w:caps w:val="0"/>
        </w:rPr>
        <w:t>.</w:t>
      </w:r>
      <w:r w:rsidR="00762552">
        <w:rPr>
          <w:b w:val="0"/>
          <w:caps w:val="0"/>
        </w:rPr>
        <w:t>......................................</w:t>
      </w:r>
      <w:r>
        <w:rPr>
          <w:b w:val="0"/>
          <w:caps w:val="0"/>
        </w:rPr>
        <w:t>........................</w:t>
      </w:r>
      <w:r w:rsidR="009F362D">
        <w:rPr>
          <w:b w:val="0"/>
          <w:caps w:val="0"/>
        </w:rPr>
        <w:t>..61</w:t>
      </w:r>
    </w:p>
    <w:p w14:paraId="33D9D7F8" w14:textId="38F9E15B" w:rsidR="0028465A" w:rsidRDefault="005C60EB" w:rsidP="0028465A">
      <w:pPr>
        <w:pStyle w:val="Ttulospr-textuais"/>
        <w:tabs>
          <w:tab w:val="left" w:leader="dot" w:pos="8647"/>
        </w:tabs>
        <w:spacing w:before="120" w:after="120" w:line="360" w:lineRule="auto"/>
        <w:jc w:val="left"/>
        <w:rPr>
          <w:b w:val="0"/>
          <w:caps w:val="0"/>
        </w:rPr>
      </w:pPr>
      <w:r w:rsidRPr="00B8782F">
        <w:rPr>
          <w:noProof/>
        </w:rPr>
        <w:lastRenderedPageBreak/>
        <mc:AlternateContent>
          <mc:Choice Requires="wps">
            <w:drawing>
              <wp:anchor distT="45720" distB="45720" distL="114300" distR="114300" simplePos="0" relativeHeight="251697152" behindDoc="0" locked="0" layoutInCell="1" allowOverlap="1" wp14:anchorId="1CA75A77" wp14:editId="61C9D5B0">
                <wp:simplePos x="0" y="0"/>
                <wp:positionH relativeFrom="margin">
                  <wp:posOffset>5349240</wp:posOffset>
                </wp:positionH>
                <wp:positionV relativeFrom="paragraph">
                  <wp:posOffset>-689610</wp:posOffset>
                </wp:positionV>
                <wp:extent cx="457200" cy="304800"/>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solidFill>
                          <a:srgbClr val="FFFFFF"/>
                        </a:solidFill>
                        <a:ln w="9525">
                          <a:noFill/>
                          <a:miter lim="800000"/>
                          <a:headEnd/>
                          <a:tailEnd/>
                        </a:ln>
                      </wps:spPr>
                      <wps:txbx>
                        <w:txbxContent>
                          <w:p w14:paraId="66EBE2B4" w14:textId="77777777" w:rsidR="00DF47F4" w:rsidRDefault="00DF47F4" w:rsidP="005C60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75A77" id="_x0000_s1041" type="#_x0000_t202" style="position:absolute;margin-left:421.2pt;margin-top:-54.3pt;width:36pt;height:24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" stroked="f">
                <v:textbox>
                  <w:txbxContent>
                    <w:p w14:paraId="66EBE2B4" w14:textId="77777777" w:rsidR="00DF47F4" w:rsidRDefault="00DF47F4" w:rsidP="005C60EB"/>
                  </w:txbxContent>
                </v:textbox>
                <w10:wrap anchorx="margin"/>
              </v:shape>
            </w:pict>
          </mc:Fallback>
        </mc:AlternateContent>
      </w:r>
      <w:r w:rsidR="0028465A">
        <w:rPr>
          <w:b w:val="0"/>
          <w:caps w:val="0"/>
        </w:rPr>
        <w:t>Gráfico 25 - Quantidade de participações ve</w:t>
      </w:r>
      <w:r w:rsidR="00191385">
        <w:rPr>
          <w:b w:val="0"/>
          <w:caps w:val="0"/>
        </w:rPr>
        <w:t>ncedoras por região no ano 2020.</w:t>
      </w:r>
      <w:r w:rsidR="0028465A">
        <w:rPr>
          <w:b w:val="0"/>
          <w:caps w:val="0"/>
        </w:rPr>
        <w:t>.................</w:t>
      </w:r>
      <w:r w:rsidR="009F362D">
        <w:rPr>
          <w:b w:val="0"/>
          <w:caps w:val="0"/>
        </w:rPr>
        <w:t>.62</w:t>
      </w:r>
    </w:p>
    <w:p w14:paraId="5083EF38" w14:textId="53497705" w:rsidR="0028465A" w:rsidRDefault="002172CA" w:rsidP="0028465A">
      <w:pPr>
        <w:pStyle w:val="Ttulospr-textuais"/>
        <w:tabs>
          <w:tab w:val="left" w:leader="dot" w:pos="8647"/>
        </w:tabs>
        <w:spacing w:before="120" w:after="120" w:line="360" w:lineRule="auto"/>
        <w:jc w:val="left"/>
        <w:rPr>
          <w:b w:val="0"/>
          <w:caps w:val="0"/>
        </w:rPr>
      </w:pPr>
      <w:r>
        <w:rPr>
          <w:b w:val="0"/>
          <w:caps w:val="0"/>
        </w:rPr>
        <w:t>Gráfico 26</w:t>
      </w:r>
      <w:r w:rsidR="0028465A">
        <w:rPr>
          <w:b w:val="0"/>
          <w:caps w:val="0"/>
        </w:rPr>
        <w:t xml:space="preserve"> - Valor das </w:t>
      </w:r>
      <w:r>
        <w:rPr>
          <w:b w:val="0"/>
          <w:caps w:val="0"/>
        </w:rPr>
        <w:t>empresas vencedoras por região no ano 2020</w:t>
      </w:r>
      <w:r w:rsidR="00191385">
        <w:rPr>
          <w:b w:val="0"/>
          <w:caps w:val="0"/>
        </w:rPr>
        <w:t>.</w:t>
      </w:r>
      <w:r w:rsidR="0028465A">
        <w:rPr>
          <w:b w:val="0"/>
          <w:caps w:val="0"/>
        </w:rPr>
        <w:t>......</w:t>
      </w:r>
      <w:r>
        <w:rPr>
          <w:b w:val="0"/>
          <w:caps w:val="0"/>
        </w:rPr>
        <w:t>.............</w:t>
      </w:r>
      <w:r w:rsidR="009F362D">
        <w:rPr>
          <w:b w:val="0"/>
          <w:caps w:val="0"/>
        </w:rPr>
        <w:t>.............63</w:t>
      </w:r>
    </w:p>
    <w:p w14:paraId="36625A35" w14:textId="6060721F" w:rsidR="0028465A" w:rsidRDefault="002172CA" w:rsidP="0028465A">
      <w:pPr>
        <w:pStyle w:val="Ttulospr-textuais"/>
        <w:tabs>
          <w:tab w:val="left" w:leader="dot" w:pos="8647"/>
        </w:tabs>
        <w:spacing w:before="120" w:after="120" w:line="360" w:lineRule="auto"/>
        <w:jc w:val="left"/>
        <w:rPr>
          <w:b w:val="0"/>
          <w:caps w:val="0"/>
        </w:rPr>
      </w:pPr>
      <w:r>
        <w:rPr>
          <w:b w:val="0"/>
          <w:caps w:val="0"/>
        </w:rPr>
        <w:t>Gráfico 27</w:t>
      </w:r>
      <w:r w:rsidR="0028465A">
        <w:rPr>
          <w:b w:val="0"/>
          <w:caps w:val="0"/>
        </w:rPr>
        <w:t xml:space="preserve"> </w:t>
      </w:r>
      <w:r>
        <w:rPr>
          <w:b w:val="0"/>
          <w:caps w:val="0"/>
        </w:rPr>
        <w:t>-</w:t>
      </w:r>
      <w:r w:rsidR="0028465A">
        <w:rPr>
          <w:b w:val="0"/>
          <w:caps w:val="0"/>
        </w:rPr>
        <w:t xml:space="preserve"> </w:t>
      </w:r>
      <w:r>
        <w:rPr>
          <w:b w:val="0"/>
          <w:caps w:val="0"/>
        </w:rPr>
        <w:t>Quantidade de participações ME/EPP por região no ano 2020</w:t>
      </w:r>
      <w:r w:rsidR="00191385">
        <w:rPr>
          <w:b w:val="0"/>
          <w:caps w:val="0"/>
        </w:rPr>
        <w:t>.</w:t>
      </w:r>
      <w:r w:rsidR="0028465A">
        <w:rPr>
          <w:b w:val="0"/>
          <w:caps w:val="0"/>
        </w:rPr>
        <w:t>......</w:t>
      </w:r>
      <w:r>
        <w:rPr>
          <w:b w:val="0"/>
          <w:caps w:val="0"/>
        </w:rPr>
        <w:t>...........</w:t>
      </w:r>
      <w:r w:rsidR="009F362D">
        <w:rPr>
          <w:b w:val="0"/>
          <w:caps w:val="0"/>
        </w:rPr>
        <w:t>.....64</w:t>
      </w:r>
    </w:p>
    <w:p w14:paraId="2C2D1394" w14:textId="0F2EF97B" w:rsidR="0028465A" w:rsidRDefault="002172CA" w:rsidP="0028465A">
      <w:pPr>
        <w:pStyle w:val="Ttulospr-textuais"/>
        <w:tabs>
          <w:tab w:val="left" w:leader="dot" w:pos="8647"/>
        </w:tabs>
        <w:spacing w:before="120" w:after="120" w:line="360" w:lineRule="auto"/>
        <w:jc w:val="left"/>
        <w:rPr>
          <w:b w:val="0"/>
          <w:caps w:val="0"/>
        </w:rPr>
      </w:pPr>
      <w:r>
        <w:rPr>
          <w:b w:val="0"/>
          <w:caps w:val="0"/>
        </w:rPr>
        <w:t>Gráfico 28</w:t>
      </w:r>
      <w:r w:rsidR="0028465A">
        <w:rPr>
          <w:b w:val="0"/>
          <w:caps w:val="0"/>
        </w:rPr>
        <w:t xml:space="preserve"> - Valor das </w:t>
      </w:r>
      <w:r>
        <w:rPr>
          <w:b w:val="0"/>
          <w:caps w:val="0"/>
        </w:rPr>
        <w:t>empresas ME/EPP por região no ano 2020</w:t>
      </w:r>
      <w:r w:rsidR="00191385">
        <w:rPr>
          <w:b w:val="0"/>
          <w:caps w:val="0"/>
        </w:rPr>
        <w:t>.</w:t>
      </w:r>
      <w:r w:rsidR="0028465A">
        <w:rPr>
          <w:b w:val="0"/>
          <w:caps w:val="0"/>
        </w:rPr>
        <w:t>......</w:t>
      </w:r>
      <w:r>
        <w:rPr>
          <w:b w:val="0"/>
          <w:caps w:val="0"/>
        </w:rPr>
        <w:t>............................</w:t>
      </w:r>
      <w:r w:rsidR="009F362D">
        <w:rPr>
          <w:b w:val="0"/>
          <w:caps w:val="0"/>
        </w:rPr>
        <w:t>..64</w:t>
      </w:r>
    </w:p>
    <w:p w14:paraId="746BED13" w14:textId="602003A2" w:rsidR="0028465A" w:rsidRDefault="002172CA" w:rsidP="0028465A">
      <w:pPr>
        <w:pStyle w:val="Ttulospr-textuais"/>
        <w:tabs>
          <w:tab w:val="left" w:leader="dot" w:pos="8647"/>
        </w:tabs>
        <w:spacing w:before="120" w:after="120" w:line="360" w:lineRule="auto"/>
        <w:jc w:val="left"/>
        <w:rPr>
          <w:b w:val="0"/>
          <w:caps w:val="0"/>
        </w:rPr>
      </w:pPr>
      <w:r>
        <w:rPr>
          <w:b w:val="0"/>
          <w:caps w:val="0"/>
        </w:rPr>
        <w:t>Gráfico 29</w:t>
      </w:r>
      <w:r w:rsidR="0028465A">
        <w:rPr>
          <w:b w:val="0"/>
          <w:caps w:val="0"/>
        </w:rPr>
        <w:t xml:space="preserve"> </w:t>
      </w:r>
      <w:r>
        <w:rPr>
          <w:b w:val="0"/>
          <w:caps w:val="0"/>
        </w:rPr>
        <w:t>-</w:t>
      </w:r>
      <w:r w:rsidR="0028465A">
        <w:rPr>
          <w:b w:val="0"/>
          <w:caps w:val="0"/>
        </w:rPr>
        <w:t xml:space="preserve"> </w:t>
      </w:r>
      <w:r>
        <w:rPr>
          <w:b w:val="0"/>
          <w:caps w:val="0"/>
        </w:rPr>
        <w:t>Quantidade de licita</w:t>
      </w:r>
      <w:r w:rsidR="00191385">
        <w:rPr>
          <w:b w:val="0"/>
          <w:caps w:val="0"/>
        </w:rPr>
        <w:t>ções por modalidade 2017 – 2020</w:t>
      </w:r>
      <w:r>
        <w:rPr>
          <w:b w:val="0"/>
          <w:caps w:val="0"/>
        </w:rPr>
        <w:t>..</w:t>
      </w:r>
      <w:r w:rsidR="0028465A">
        <w:rPr>
          <w:b w:val="0"/>
          <w:caps w:val="0"/>
        </w:rPr>
        <w:t>......</w:t>
      </w:r>
      <w:r>
        <w:rPr>
          <w:b w:val="0"/>
          <w:caps w:val="0"/>
        </w:rPr>
        <w:t>......................</w:t>
      </w:r>
      <w:r w:rsidR="009F362D">
        <w:rPr>
          <w:b w:val="0"/>
          <w:caps w:val="0"/>
        </w:rPr>
        <w:t>.....66</w:t>
      </w:r>
    </w:p>
    <w:p w14:paraId="53C75847" w14:textId="357C6446" w:rsidR="0028465A" w:rsidRDefault="002172CA" w:rsidP="0028465A">
      <w:pPr>
        <w:pStyle w:val="Ttulospr-textuais"/>
        <w:tabs>
          <w:tab w:val="left" w:leader="dot" w:pos="8647"/>
        </w:tabs>
        <w:spacing w:before="120" w:after="120" w:line="360" w:lineRule="auto"/>
        <w:jc w:val="left"/>
        <w:rPr>
          <w:b w:val="0"/>
          <w:caps w:val="0"/>
        </w:rPr>
      </w:pPr>
      <w:r>
        <w:rPr>
          <w:b w:val="0"/>
          <w:caps w:val="0"/>
        </w:rPr>
        <w:t>Gráfico 30</w:t>
      </w:r>
      <w:r w:rsidR="0028465A">
        <w:rPr>
          <w:b w:val="0"/>
          <w:caps w:val="0"/>
        </w:rPr>
        <w:t xml:space="preserve"> </w:t>
      </w:r>
      <w:r>
        <w:rPr>
          <w:b w:val="0"/>
          <w:caps w:val="0"/>
        </w:rPr>
        <w:t>-</w:t>
      </w:r>
      <w:r w:rsidR="0028465A">
        <w:rPr>
          <w:b w:val="0"/>
          <w:caps w:val="0"/>
        </w:rPr>
        <w:t xml:space="preserve"> </w:t>
      </w:r>
      <w:r>
        <w:rPr>
          <w:b w:val="0"/>
          <w:caps w:val="0"/>
        </w:rPr>
        <w:t>Total de parti</w:t>
      </w:r>
      <w:r w:rsidR="00191385">
        <w:rPr>
          <w:b w:val="0"/>
          <w:caps w:val="0"/>
        </w:rPr>
        <w:t>cipações por região 2017 – 2020.</w:t>
      </w:r>
      <w:r>
        <w:rPr>
          <w:b w:val="0"/>
          <w:caps w:val="0"/>
        </w:rPr>
        <w:t>.</w:t>
      </w:r>
      <w:r w:rsidR="0028465A">
        <w:rPr>
          <w:b w:val="0"/>
          <w:caps w:val="0"/>
        </w:rPr>
        <w:t>......</w:t>
      </w:r>
      <w:r>
        <w:rPr>
          <w:b w:val="0"/>
          <w:caps w:val="0"/>
        </w:rPr>
        <w:t>...............................</w:t>
      </w:r>
      <w:r w:rsidR="009F362D">
        <w:rPr>
          <w:b w:val="0"/>
          <w:caps w:val="0"/>
        </w:rPr>
        <w:t>.........67</w:t>
      </w:r>
    </w:p>
    <w:p w14:paraId="4C57DF81" w14:textId="51932844" w:rsidR="0028465A" w:rsidRDefault="002172CA" w:rsidP="0028465A">
      <w:pPr>
        <w:pStyle w:val="Ttulospr-textuais"/>
        <w:tabs>
          <w:tab w:val="left" w:leader="dot" w:pos="8647"/>
        </w:tabs>
        <w:spacing w:before="120" w:after="120" w:line="360" w:lineRule="auto"/>
        <w:jc w:val="left"/>
        <w:rPr>
          <w:b w:val="0"/>
          <w:caps w:val="0"/>
        </w:rPr>
      </w:pPr>
      <w:r>
        <w:rPr>
          <w:b w:val="0"/>
          <w:caps w:val="0"/>
        </w:rPr>
        <w:t>Gráfico 3</w:t>
      </w:r>
      <w:r w:rsidR="0028465A">
        <w:rPr>
          <w:b w:val="0"/>
          <w:caps w:val="0"/>
        </w:rPr>
        <w:t xml:space="preserve">1 </w:t>
      </w:r>
      <w:r>
        <w:rPr>
          <w:b w:val="0"/>
          <w:caps w:val="0"/>
        </w:rPr>
        <w:t>-</w:t>
      </w:r>
      <w:r w:rsidR="0028465A">
        <w:rPr>
          <w:b w:val="0"/>
          <w:caps w:val="0"/>
        </w:rPr>
        <w:t xml:space="preserve"> </w:t>
      </w:r>
      <w:r>
        <w:rPr>
          <w:b w:val="0"/>
          <w:caps w:val="0"/>
        </w:rPr>
        <w:t>Total de participações ve</w:t>
      </w:r>
      <w:r w:rsidR="00191385">
        <w:rPr>
          <w:b w:val="0"/>
          <w:caps w:val="0"/>
        </w:rPr>
        <w:t>ncedoras por região 2017 – 2020.</w:t>
      </w:r>
      <w:r>
        <w:rPr>
          <w:b w:val="0"/>
          <w:caps w:val="0"/>
        </w:rPr>
        <w:t>.</w:t>
      </w:r>
      <w:r w:rsidR="0028465A">
        <w:rPr>
          <w:b w:val="0"/>
          <w:caps w:val="0"/>
        </w:rPr>
        <w:t>......</w:t>
      </w:r>
      <w:r>
        <w:rPr>
          <w:b w:val="0"/>
          <w:caps w:val="0"/>
        </w:rPr>
        <w:t>.........</w:t>
      </w:r>
      <w:r w:rsidR="009F362D">
        <w:rPr>
          <w:b w:val="0"/>
          <w:caps w:val="0"/>
        </w:rPr>
        <w:t>............68</w:t>
      </w:r>
    </w:p>
    <w:p w14:paraId="62ED6D26" w14:textId="498BB25D" w:rsidR="0028465A" w:rsidRDefault="002172CA" w:rsidP="0028465A">
      <w:pPr>
        <w:pStyle w:val="Ttulospr-textuais"/>
        <w:tabs>
          <w:tab w:val="left" w:leader="dot" w:pos="8647"/>
        </w:tabs>
        <w:spacing w:before="120" w:after="120" w:line="360" w:lineRule="auto"/>
        <w:jc w:val="left"/>
        <w:rPr>
          <w:b w:val="0"/>
          <w:caps w:val="0"/>
        </w:rPr>
      </w:pPr>
      <w:r>
        <w:rPr>
          <w:b w:val="0"/>
          <w:caps w:val="0"/>
        </w:rPr>
        <w:t>Gráfico 32</w:t>
      </w:r>
      <w:r w:rsidR="0028465A">
        <w:rPr>
          <w:b w:val="0"/>
          <w:caps w:val="0"/>
        </w:rPr>
        <w:t xml:space="preserve"> - Valor </w:t>
      </w:r>
      <w:r>
        <w:rPr>
          <w:b w:val="0"/>
          <w:caps w:val="0"/>
        </w:rPr>
        <w:t>total das participações ve</w:t>
      </w:r>
      <w:r w:rsidR="00191385">
        <w:rPr>
          <w:b w:val="0"/>
          <w:caps w:val="0"/>
        </w:rPr>
        <w:t>ncedoras por região 2017 – 2020</w:t>
      </w:r>
      <w:r>
        <w:rPr>
          <w:b w:val="0"/>
          <w:caps w:val="0"/>
        </w:rPr>
        <w:t>..</w:t>
      </w:r>
      <w:r w:rsidR="0028465A">
        <w:rPr>
          <w:b w:val="0"/>
          <w:caps w:val="0"/>
        </w:rPr>
        <w:t>......</w:t>
      </w:r>
      <w:r>
        <w:rPr>
          <w:b w:val="0"/>
          <w:caps w:val="0"/>
        </w:rPr>
        <w:t>..</w:t>
      </w:r>
      <w:r w:rsidR="009F362D">
        <w:rPr>
          <w:b w:val="0"/>
          <w:caps w:val="0"/>
        </w:rPr>
        <w:t>........69</w:t>
      </w:r>
    </w:p>
    <w:p w14:paraId="23D146F6" w14:textId="4B286ECA" w:rsidR="0028465A" w:rsidRDefault="002172CA" w:rsidP="0028465A">
      <w:pPr>
        <w:pStyle w:val="Ttulospr-textuais"/>
        <w:tabs>
          <w:tab w:val="left" w:leader="dot" w:pos="8647"/>
        </w:tabs>
        <w:spacing w:before="120" w:after="120" w:line="360" w:lineRule="auto"/>
        <w:jc w:val="left"/>
        <w:rPr>
          <w:b w:val="0"/>
          <w:caps w:val="0"/>
        </w:rPr>
      </w:pPr>
      <w:r>
        <w:rPr>
          <w:b w:val="0"/>
          <w:caps w:val="0"/>
        </w:rPr>
        <w:t>Gráfico 33</w:t>
      </w:r>
      <w:r w:rsidR="0028465A">
        <w:rPr>
          <w:b w:val="0"/>
          <w:caps w:val="0"/>
        </w:rPr>
        <w:t xml:space="preserve"> - Valor </w:t>
      </w:r>
      <w:r w:rsidR="001E1FE3">
        <w:rPr>
          <w:b w:val="0"/>
          <w:caps w:val="0"/>
        </w:rPr>
        <w:t>total das participações vencedoras por ano 2017 - 2020 .</w:t>
      </w:r>
      <w:r w:rsidR="0028465A">
        <w:rPr>
          <w:b w:val="0"/>
          <w:caps w:val="0"/>
        </w:rPr>
        <w:t>......</w:t>
      </w:r>
      <w:r w:rsidR="001E1FE3">
        <w:rPr>
          <w:b w:val="0"/>
          <w:caps w:val="0"/>
        </w:rPr>
        <w:t>......</w:t>
      </w:r>
      <w:r w:rsidR="009F362D">
        <w:rPr>
          <w:b w:val="0"/>
          <w:caps w:val="0"/>
        </w:rPr>
        <w:t>.........69</w:t>
      </w:r>
    </w:p>
    <w:p w14:paraId="3BF21A5B" w14:textId="47F49A10" w:rsidR="0028465A" w:rsidRDefault="001E1FE3" w:rsidP="0028465A">
      <w:pPr>
        <w:pStyle w:val="Ttulospr-textuais"/>
        <w:tabs>
          <w:tab w:val="left" w:leader="dot" w:pos="8647"/>
        </w:tabs>
        <w:spacing w:before="120" w:after="120" w:line="360" w:lineRule="auto"/>
        <w:jc w:val="left"/>
        <w:rPr>
          <w:b w:val="0"/>
          <w:caps w:val="0"/>
        </w:rPr>
      </w:pPr>
      <w:r>
        <w:rPr>
          <w:b w:val="0"/>
          <w:caps w:val="0"/>
        </w:rPr>
        <w:t>Gráfico 34</w:t>
      </w:r>
      <w:r w:rsidR="0028465A">
        <w:rPr>
          <w:b w:val="0"/>
          <w:caps w:val="0"/>
        </w:rPr>
        <w:t xml:space="preserve"> </w:t>
      </w:r>
      <w:r>
        <w:rPr>
          <w:b w:val="0"/>
          <w:caps w:val="0"/>
        </w:rPr>
        <w:t>-</w:t>
      </w:r>
      <w:r w:rsidR="0028465A">
        <w:rPr>
          <w:b w:val="0"/>
          <w:caps w:val="0"/>
        </w:rPr>
        <w:t xml:space="preserve"> </w:t>
      </w:r>
      <w:r>
        <w:rPr>
          <w:b w:val="0"/>
          <w:caps w:val="0"/>
        </w:rPr>
        <w:t>Total das participações ME/EPP vencedoras por ano 2017 - 2020 ...</w:t>
      </w:r>
      <w:r w:rsidR="0028465A">
        <w:rPr>
          <w:b w:val="0"/>
          <w:caps w:val="0"/>
        </w:rPr>
        <w:t>......</w:t>
      </w:r>
      <w:r>
        <w:rPr>
          <w:b w:val="0"/>
          <w:caps w:val="0"/>
        </w:rPr>
        <w:t>.......70</w:t>
      </w:r>
    </w:p>
    <w:p w14:paraId="6290A124" w14:textId="5D3BAE4F" w:rsidR="0028465A" w:rsidRDefault="001E1FE3" w:rsidP="0028465A">
      <w:pPr>
        <w:pStyle w:val="Ttulospr-textuais"/>
        <w:tabs>
          <w:tab w:val="left" w:leader="dot" w:pos="8647"/>
        </w:tabs>
        <w:spacing w:before="120" w:after="120" w:line="360" w:lineRule="auto"/>
        <w:jc w:val="left"/>
        <w:rPr>
          <w:b w:val="0"/>
          <w:caps w:val="0"/>
        </w:rPr>
      </w:pPr>
      <w:r>
        <w:rPr>
          <w:b w:val="0"/>
          <w:caps w:val="0"/>
        </w:rPr>
        <w:t>Gráfico 35</w:t>
      </w:r>
      <w:r w:rsidR="0028465A">
        <w:rPr>
          <w:b w:val="0"/>
          <w:caps w:val="0"/>
        </w:rPr>
        <w:t xml:space="preserve"> - Valor </w:t>
      </w:r>
      <w:r>
        <w:rPr>
          <w:b w:val="0"/>
          <w:caps w:val="0"/>
        </w:rPr>
        <w:t>total das participações ME/EPP ve</w:t>
      </w:r>
      <w:r w:rsidR="00191385">
        <w:rPr>
          <w:b w:val="0"/>
          <w:caps w:val="0"/>
        </w:rPr>
        <w:t>ncedoras por região 2017 – 2020</w:t>
      </w:r>
      <w:r>
        <w:rPr>
          <w:b w:val="0"/>
          <w:caps w:val="0"/>
        </w:rPr>
        <w:t>.</w:t>
      </w:r>
      <w:r w:rsidR="009F362D">
        <w:rPr>
          <w:b w:val="0"/>
          <w:caps w:val="0"/>
        </w:rPr>
        <w:t>..71</w:t>
      </w:r>
    </w:p>
    <w:p w14:paraId="1DA9DFC2" w14:textId="37D22157" w:rsidR="0028465A" w:rsidRDefault="001E1FE3" w:rsidP="0028465A">
      <w:pPr>
        <w:pStyle w:val="Ttulospr-textuais"/>
        <w:tabs>
          <w:tab w:val="left" w:leader="dot" w:pos="8647"/>
        </w:tabs>
        <w:spacing w:before="120" w:after="120" w:line="360" w:lineRule="auto"/>
        <w:jc w:val="left"/>
        <w:rPr>
          <w:b w:val="0"/>
          <w:caps w:val="0"/>
        </w:rPr>
      </w:pPr>
      <w:r>
        <w:rPr>
          <w:b w:val="0"/>
          <w:caps w:val="0"/>
        </w:rPr>
        <w:t>Gráfico 36</w:t>
      </w:r>
      <w:r w:rsidR="0028465A">
        <w:rPr>
          <w:b w:val="0"/>
          <w:caps w:val="0"/>
        </w:rPr>
        <w:t xml:space="preserve"> - Valor </w:t>
      </w:r>
      <w:r>
        <w:rPr>
          <w:b w:val="0"/>
          <w:caps w:val="0"/>
        </w:rPr>
        <w:t>total das participações ME/EPP vencedoras por ano 2017 - 2020........</w:t>
      </w:r>
      <w:r w:rsidR="009F362D">
        <w:rPr>
          <w:b w:val="0"/>
          <w:caps w:val="0"/>
        </w:rPr>
        <w:t>72</w:t>
      </w:r>
    </w:p>
    <w:p w14:paraId="7D919784" w14:textId="77777777" w:rsidR="0028465A" w:rsidRDefault="0028465A" w:rsidP="00762552">
      <w:pPr>
        <w:pStyle w:val="Ttulospr-textuais"/>
        <w:tabs>
          <w:tab w:val="left" w:leader="dot" w:pos="8647"/>
        </w:tabs>
        <w:spacing w:before="120" w:after="120" w:line="360" w:lineRule="auto"/>
        <w:jc w:val="left"/>
        <w:rPr>
          <w:b w:val="0"/>
          <w:caps w:val="0"/>
        </w:rPr>
      </w:pPr>
    </w:p>
    <w:p w14:paraId="071B17EC" w14:textId="18CBED0F" w:rsidR="00AA10EA" w:rsidRPr="00AA10EA" w:rsidRDefault="00AA10EA" w:rsidP="009D3C62">
      <w:pPr>
        <w:jc w:val="center"/>
        <w:rPr>
          <w:b/>
        </w:rPr>
      </w:pPr>
      <w:r w:rsidRPr="00474D06">
        <w:br w:type="page"/>
      </w:r>
      <w:r w:rsidR="009F49D8" w:rsidRPr="00B8782F">
        <w:rPr>
          <w:noProof/>
          <w:lang w:eastAsia="pt-BR"/>
        </w:rPr>
        <w:lastRenderedPageBreak/>
        <mc:AlternateContent>
          <mc:Choice Requires="wps">
            <w:drawing>
              <wp:anchor distT="45720" distB="45720" distL="114300" distR="114300" simplePos="0" relativeHeight="251704320" behindDoc="0" locked="0" layoutInCell="1" allowOverlap="1" wp14:anchorId="2E90CE44" wp14:editId="276939B7">
                <wp:simplePos x="0" y="0"/>
                <wp:positionH relativeFrom="margin">
                  <wp:posOffset>5355171</wp:posOffset>
                </wp:positionH>
                <wp:positionV relativeFrom="paragraph">
                  <wp:posOffset>-619664</wp:posOffset>
                </wp:positionV>
                <wp:extent cx="362309" cy="310551"/>
                <wp:effectExtent l="0" t="0" r="0" b="0"/>
                <wp:wrapNone/>
                <wp:docPr id="1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09" cy="310551"/>
                        </a:xfrm>
                        <a:prstGeom prst="rect">
                          <a:avLst/>
                        </a:prstGeom>
                        <a:solidFill>
                          <a:srgbClr val="FFFFFF"/>
                        </a:solidFill>
                        <a:ln w="9525">
                          <a:noFill/>
                          <a:miter lim="800000"/>
                          <a:headEnd/>
                          <a:tailEnd/>
                        </a:ln>
                      </wps:spPr>
                      <wps:txbx>
                        <w:txbxContent>
                          <w:p w14:paraId="484D980A" w14:textId="77777777" w:rsidR="00DF47F4" w:rsidRDefault="00DF47F4" w:rsidP="009F49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0CE44" id="_x0000_s1042" type="#_x0000_t202" style="position:absolute;left:0;text-align:left;margin-left:421.65pt;margin-top:-48.8pt;width:28.55pt;height:24.4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" stroked="f">
                <v:textbox>
                  <w:txbxContent>
                    <w:p w14:paraId="484D980A" w14:textId="77777777" w:rsidR="00DF47F4" w:rsidRDefault="00DF47F4" w:rsidP="009F49D8"/>
                  </w:txbxContent>
                </v:textbox>
                <w10:wrap anchorx="margin"/>
              </v:shape>
            </w:pict>
          </mc:Fallback>
        </mc:AlternateContent>
      </w:r>
      <w:r w:rsidR="00B8782F" w:rsidRPr="00B8782F">
        <w:rPr>
          <w:noProof/>
          <w:lang w:eastAsia="pt-BR"/>
        </w:rPr>
        <mc:AlternateContent>
          <mc:Choice Requires="wps">
            <w:drawing>
              <wp:anchor distT="45720" distB="45720" distL="114300" distR="114300" simplePos="0" relativeHeight="251679744" behindDoc="0" locked="0" layoutInCell="1" allowOverlap="1" wp14:anchorId="634AA36D" wp14:editId="416C8322">
                <wp:simplePos x="0" y="0"/>
                <wp:positionH relativeFrom="margin">
                  <wp:align>right</wp:align>
                </wp:positionH>
                <wp:positionV relativeFrom="paragraph">
                  <wp:posOffset>-686435</wp:posOffset>
                </wp:positionV>
                <wp:extent cx="219075" cy="200025"/>
                <wp:effectExtent l="0" t="0" r="9525" b="9525"/>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noFill/>
                          <a:miter lim="800000"/>
                          <a:headEnd/>
                          <a:tailEnd/>
                        </a:ln>
                      </wps:spPr>
                      <wps:txbx>
                        <w:txbxContent>
                          <w:p w14:paraId="21D6A598" w14:textId="77777777" w:rsidR="00DF47F4" w:rsidRDefault="00DF47F4" w:rsidP="00B87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AA36D" id="_x0000_s1043" type="#_x0000_t202" style="position:absolute;left:0;text-align:left;margin-left:-33.95pt;margin-top:-54.05pt;width:17.25pt;height:15.7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" stroked="f">
                <v:textbox>
                  <w:txbxContent>
                    <w:p w14:paraId="21D6A598" w14:textId="77777777" w:rsidR="00DF47F4" w:rsidRDefault="00DF47F4" w:rsidP="00B8782F"/>
                  </w:txbxContent>
                </v:textbox>
                <w10:wrap anchorx="margin"/>
              </v:shape>
            </w:pict>
          </mc:Fallback>
        </mc:AlternateContent>
      </w:r>
      <w:r w:rsidRPr="00AA10EA">
        <w:rPr>
          <w:b/>
        </w:rPr>
        <w:t>SUMÁRIO</w:t>
      </w:r>
    </w:p>
    <w:p w14:paraId="35717607" w14:textId="77777777" w:rsidR="00AA10EA" w:rsidRDefault="00AA10EA" w:rsidP="00F8000B"/>
    <w:p w14:paraId="411890F3" w14:textId="77777777" w:rsidR="00AA10EA" w:rsidRPr="00B33EA9" w:rsidRDefault="00AA10EA" w:rsidP="00F8000B"/>
    <w:p w14:paraId="667D9337" w14:textId="20C65A03" w:rsidR="00AA10EA" w:rsidRPr="009770AF" w:rsidRDefault="00AA10EA" w:rsidP="00F8000B">
      <w:pPr>
        <w:pStyle w:val="Ttulospr-textuais"/>
        <w:tabs>
          <w:tab w:val="left" w:leader="dot" w:pos="8647"/>
        </w:tabs>
        <w:spacing w:before="120" w:after="120" w:line="360" w:lineRule="auto"/>
        <w:jc w:val="left"/>
      </w:pPr>
      <w:r w:rsidRPr="009770AF">
        <w:t>1</w:t>
      </w:r>
      <w:r w:rsidRPr="009770AF">
        <w:rPr>
          <w:caps w:val="0"/>
        </w:rPr>
        <w:t xml:space="preserve">. </w:t>
      </w:r>
      <w:r w:rsidRPr="00226FD5">
        <w:rPr>
          <w:caps w:val="0"/>
        </w:rPr>
        <w:t>INTRODUÇÃO</w:t>
      </w:r>
      <w:r w:rsidR="00D159E8">
        <w:t>..............................................................................................................</w:t>
      </w:r>
      <w:r w:rsidR="001F0197">
        <w:t>14</w:t>
      </w:r>
    </w:p>
    <w:p w14:paraId="7A85961E" w14:textId="284C062B" w:rsidR="00AA10EA" w:rsidRDefault="00A96D00" w:rsidP="00F8000B">
      <w:pPr>
        <w:pStyle w:val="Ttulospr-textuais"/>
        <w:tabs>
          <w:tab w:val="left" w:leader="dot" w:pos="8647"/>
        </w:tabs>
        <w:spacing w:before="120" w:after="120" w:line="360" w:lineRule="auto"/>
        <w:jc w:val="left"/>
        <w:rPr>
          <w:b w:val="0"/>
        </w:rPr>
      </w:pPr>
      <w:r>
        <w:rPr>
          <w:b w:val="0"/>
        </w:rPr>
        <w:t>1.1 PROBLEMA DE PESQUISA</w:t>
      </w:r>
      <w:r w:rsidR="00D159E8">
        <w:rPr>
          <w:b w:val="0"/>
        </w:rPr>
        <w:t>...</w:t>
      </w:r>
      <w:r>
        <w:rPr>
          <w:b w:val="0"/>
        </w:rPr>
        <w:t>.....</w:t>
      </w:r>
      <w:r w:rsidR="00D159E8">
        <w:rPr>
          <w:b w:val="0"/>
        </w:rPr>
        <w:t>................................................................................</w:t>
      </w:r>
      <w:r w:rsidR="001F0197">
        <w:rPr>
          <w:b w:val="0"/>
        </w:rPr>
        <w:t>15</w:t>
      </w:r>
    </w:p>
    <w:p w14:paraId="71DD07BD" w14:textId="3A20D38C" w:rsidR="00AA10EA" w:rsidRDefault="00AA10EA" w:rsidP="00F8000B">
      <w:pPr>
        <w:pStyle w:val="Ttulospr-textuais"/>
        <w:tabs>
          <w:tab w:val="left" w:leader="dot" w:pos="8647"/>
        </w:tabs>
        <w:spacing w:before="120" w:after="120" w:line="360" w:lineRule="auto"/>
        <w:jc w:val="left"/>
        <w:rPr>
          <w:caps w:val="0"/>
        </w:rPr>
      </w:pPr>
      <w:r w:rsidRPr="009770AF">
        <w:rPr>
          <w:caps w:val="0"/>
        </w:rPr>
        <w:t>1.2.1</w:t>
      </w:r>
      <w:r w:rsidR="00D159E8">
        <w:rPr>
          <w:caps w:val="0"/>
        </w:rPr>
        <w:t xml:space="preserve"> Geral...........................................................................................................................</w:t>
      </w:r>
      <w:r w:rsidR="001F0197">
        <w:rPr>
          <w:caps w:val="0"/>
        </w:rPr>
        <w:t>15</w:t>
      </w:r>
    </w:p>
    <w:p w14:paraId="477ECDD4" w14:textId="5F7E247B" w:rsidR="00AA10EA" w:rsidRDefault="00D159E8" w:rsidP="00F8000B">
      <w:pPr>
        <w:pStyle w:val="Ttulospr-textuais"/>
        <w:tabs>
          <w:tab w:val="left" w:leader="dot" w:pos="8647"/>
        </w:tabs>
        <w:spacing w:before="120" w:after="120" w:line="360" w:lineRule="auto"/>
        <w:jc w:val="left"/>
        <w:rPr>
          <w:caps w:val="0"/>
        </w:rPr>
      </w:pPr>
      <w:r>
        <w:rPr>
          <w:caps w:val="0"/>
        </w:rPr>
        <w:t>1.2.2 Específicos..................................................................................................................</w:t>
      </w:r>
      <w:r w:rsidR="001F0197">
        <w:rPr>
          <w:caps w:val="0"/>
        </w:rPr>
        <w:t>15</w:t>
      </w:r>
    </w:p>
    <w:p w14:paraId="66AB14B5" w14:textId="0032B1E1" w:rsidR="00AA10EA" w:rsidRDefault="00AA10EA" w:rsidP="00F8000B">
      <w:pPr>
        <w:pStyle w:val="Ttulospr-textuais"/>
        <w:tabs>
          <w:tab w:val="left" w:leader="dot" w:pos="8647"/>
        </w:tabs>
        <w:spacing w:before="120" w:after="120" w:line="360" w:lineRule="auto"/>
        <w:jc w:val="left"/>
        <w:rPr>
          <w:b w:val="0"/>
          <w:caps w:val="0"/>
        </w:rPr>
      </w:pPr>
      <w:r w:rsidRPr="00720A7D">
        <w:rPr>
          <w:b w:val="0"/>
          <w:caps w:val="0"/>
        </w:rPr>
        <w:t xml:space="preserve">1.3 </w:t>
      </w:r>
      <w:r>
        <w:rPr>
          <w:b w:val="0"/>
          <w:caps w:val="0"/>
        </w:rPr>
        <w:t>JUSTIFICATIVA</w:t>
      </w:r>
      <w:r w:rsidR="00D159E8">
        <w:rPr>
          <w:b w:val="0"/>
          <w:caps w:val="0"/>
        </w:rPr>
        <w:t>...........................................................................................................</w:t>
      </w:r>
      <w:r w:rsidR="001F0197">
        <w:rPr>
          <w:b w:val="0"/>
          <w:caps w:val="0"/>
        </w:rPr>
        <w:t>15</w:t>
      </w:r>
    </w:p>
    <w:p w14:paraId="710F9CF0" w14:textId="59BBCAEF" w:rsidR="00A96D00" w:rsidRDefault="00A96D00" w:rsidP="00F8000B">
      <w:pPr>
        <w:pStyle w:val="Ttulospr-textuais"/>
        <w:tabs>
          <w:tab w:val="left" w:leader="dot" w:pos="8647"/>
        </w:tabs>
        <w:spacing w:before="120" w:after="120" w:line="360" w:lineRule="auto"/>
        <w:jc w:val="left"/>
        <w:rPr>
          <w:b w:val="0"/>
          <w:caps w:val="0"/>
        </w:rPr>
      </w:pPr>
      <w:r>
        <w:rPr>
          <w:b w:val="0"/>
          <w:caps w:val="0"/>
        </w:rPr>
        <w:t>1.4 CONTEXTUALIZAÇÃO DA EMPRESA......................................</w:t>
      </w:r>
      <w:r w:rsidR="001F0197">
        <w:rPr>
          <w:b w:val="0"/>
          <w:caps w:val="0"/>
        </w:rPr>
        <w:t>..............................16</w:t>
      </w:r>
    </w:p>
    <w:p w14:paraId="3659E638" w14:textId="26CB148A" w:rsidR="00A96D00" w:rsidRDefault="00A96D00" w:rsidP="00F8000B">
      <w:pPr>
        <w:pStyle w:val="Ttulospr-textuais"/>
        <w:tabs>
          <w:tab w:val="left" w:leader="dot" w:pos="8647"/>
        </w:tabs>
        <w:spacing w:before="120" w:after="120" w:line="360" w:lineRule="auto"/>
        <w:jc w:val="left"/>
        <w:rPr>
          <w:caps w:val="0"/>
        </w:rPr>
      </w:pPr>
      <w:r w:rsidRPr="00A96D00">
        <w:rPr>
          <w:caps w:val="0"/>
        </w:rPr>
        <w:t>2. REFERENCIAL TEÓRICO.................................</w:t>
      </w:r>
      <w:r>
        <w:rPr>
          <w:caps w:val="0"/>
        </w:rPr>
        <w:t>.</w:t>
      </w:r>
      <w:r w:rsidRPr="00A96D00">
        <w:rPr>
          <w:caps w:val="0"/>
        </w:rPr>
        <w:t>.........................................</w:t>
      </w:r>
      <w:r w:rsidR="001F0197">
        <w:rPr>
          <w:caps w:val="0"/>
        </w:rPr>
        <w:t>..............18</w:t>
      </w:r>
    </w:p>
    <w:p w14:paraId="35C7A89D" w14:textId="234F49CA" w:rsidR="00A96D00" w:rsidRDefault="00A96D00" w:rsidP="00F8000B">
      <w:pPr>
        <w:pStyle w:val="Ttulospr-textuais"/>
        <w:tabs>
          <w:tab w:val="left" w:leader="dot" w:pos="8647"/>
        </w:tabs>
        <w:spacing w:before="120" w:after="120" w:line="360" w:lineRule="auto"/>
        <w:jc w:val="left"/>
        <w:rPr>
          <w:b w:val="0"/>
          <w:caps w:val="0"/>
        </w:rPr>
      </w:pPr>
      <w:r w:rsidRPr="00A96D00">
        <w:rPr>
          <w:b w:val="0"/>
          <w:caps w:val="0"/>
        </w:rPr>
        <w:t>2.1</w:t>
      </w:r>
      <w:r>
        <w:rPr>
          <w:b w:val="0"/>
          <w:caps w:val="0"/>
        </w:rPr>
        <w:t xml:space="preserve"> LICITAÇÕES PÚBLICAS..............................................................</w:t>
      </w:r>
      <w:r w:rsidR="001F0197">
        <w:rPr>
          <w:b w:val="0"/>
          <w:caps w:val="0"/>
        </w:rPr>
        <w:t>..............................18</w:t>
      </w:r>
    </w:p>
    <w:p w14:paraId="3C99C15D" w14:textId="0E2D67BA" w:rsidR="00A96D00" w:rsidRDefault="00A96D00" w:rsidP="00F8000B">
      <w:pPr>
        <w:pStyle w:val="Ttulospr-textuais"/>
        <w:tabs>
          <w:tab w:val="left" w:leader="dot" w:pos="8647"/>
        </w:tabs>
        <w:spacing w:before="120" w:after="120" w:line="360" w:lineRule="auto"/>
        <w:jc w:val="left"/>
        <w:rPr>
          <w:b w:val="0"/>
          <w:caps w:val="0"/>
        </w:rPr>
      </w:pPr>
      <w:r>
        <w:rPr>
          <w:b w:val="0"/>
          <w:caps w:val="0"/>
        </w:rPr>
        <w:t>2.2 OBJETO DA LICITAÇÃO..............................................................</w:t>
      </w:r>
      <w:r w:rsidR="001F0197">
        <w:rPr>
          <w:b w:val="0"/>
          <w:caps w:val="0"/>
        </w:rPr>
        <w:t>..............................19</w:t>
      </w:r>
    </w:p>
    <w:p w14:paraId="14E56F85" w14:textId="650D53D8" w:rsidR="00A96D00" w:rsidRDefault="00A96D00" w:rsidP="00F8000B">
      <w:pPr>
        <w:pStyle w:val="Ttulospr-textuais"/>
        <w:tabs>
          <w:tab w:val="left" w:leader="dot" w:pos="8647"/>
        </w:tabs>
        <w:spacing w:before="120" w:after="120" w:line="360" w:lineRule="auto"/>
        <w:jc w:val="left"/>
        <w:rPr>
          <w:b w:val="0"/>
          <w:caps w:val="0"/>
        </w:rPr>
      </w:pPr>
      <w:r>
        <w:rPr>
          <w:b w:val="0"/>
          <w:caps w:val="0"/>
        </w:rPr>
        <w:t>2.3 OBRIGATORIEDADE DE LICITAR.............................................</w:t>
      </w:r>
      <w:r w:rsidR="001F0197">
        <w:rPr>
          <w:b w:val="0"/>
          <w:caps w:val="0"/>
        </w:rPr>
        <w:t>..............................20</w:t>
      </w:r>
    </w:p>
    <w:p w14:paraId="5B4C3F24" w14:textId="25D55137" w:rsidR="00A96D00" w:rsidRDefault="00A96D00" w:rsidP="00F8000B">
      <w:pPr>
        <w:pStyle w:val="Ttulospr-textuais"/>
        <w:tabs>
          <w:tab w:val="left" w:leader="dot" w:pos="8647"/>
        </w:tabs>
        <w:spacing w:before="120" w:after="120" w:line="360" w:lineRule="auto"/>
        <w:jc w:val="left"/>
        <w:rPr>
          <w:b w:val="0"/>
          <w:caps w:val="0"/>
        </w:rPr>
      </w:pPr>
      <w:r>
        <w:rPr>
          <w:b w:val="0"/>
          <w:caps w:val="0"/>
        </w:rPr>
        <w:t>2.4 PRINCÍPIOS NORTEADORES DA LICITAÇÃO.........................</w:t>
      </w:r>
      <w:r w:rsidR="001F0197">
        <w:rPr>
          <w:b w:val="0"/>
          <w:caps w:val="0"/>
        </w:rPr>
        <w:t>..............................21</w:t>
      </w:r>
    </w:p>
    <w:p w14:paraId="61DD76EB" w14:textId="648443B7" w:rsidR="00A96D00" w:rsidRDefault="00A96D00" w:rsidP="00F8000B">
      <w:pPr>
        <w:pStyle w:val="Ttulospr-textuais"/>
        <w:tabs>
          <w:tab w:val="left" w:leader="dot" w:pos="8647"/>
        </w:tabs>
        <w:spacing w:before="120" w:after="120" w:line="360" w:lineRule="auto"/>
        <w:jc w:val="left"/>
        <w:rPr>
          <w:caps w:val="0"/>
        </w:rPr>
      </w:pPr>
      <w:r w:rsidRPr="00A96D00">
        <w:rPr>
          <w:caps w:val="0"/>
        </w:rPr>
        <w:t>2.4.1</w:t>
      </w:r>
      <w:r>
        <w:rPr>
          <w:caps w:val="0"/>
        </w:rPr>
        <w:t xml:space="preserve"> Princípio da legalidade e procedimento formal........................</w:t>
      </w:r>
      <w:r w:rsidR="001F0197">
        <w:rPr>
          <w:caps w:val="0"/>
        </w:rPr>
        <w:t>..............................22</w:t>
      </w:r>
    </w:p>
    <w:p w14:paraId="154159C6" w14:textId="3DE0C48D" w:rsidR="00A96D00" w:rsidRDefault="00A96D00" w:rsidP="00F8000B">
      <w:pPr>
        <w:pStyle w:val="Ttulospr-textuais"/>
        <w:tabs>
          <w:tab w:val="left" w:leader="dot" w:pos="8647"/>
        </w:tabs>
        <w:spacing w:before="120" w:after="120" w:line="360" w:lineRule="auto"/>
        <w:jc w:val="left"/>
        <w:rPr>
          <w:caps w:val="0"/>
        </w:rPr>
      </w:pPr>
      <w:r>
        <w:rPr>
          <w:caps w:val="0"/>
        </w:rPr>
        <w:t>2.4.2 Princípio da impessoalidade e instrumento público.................</w:t>
      </w:r>
      <w:r w:rsidR="001F0197">
        <w:rPr>
          <w:caps w:val="0"/>
        </w:rPr>
        <w:t>..............................22</w:t>
      </w:r>
    </w:p>
    <w:p w14:paraId="726D1EA3" w14:textId="045A15D8" w:rsidR="00A96D00" w:rsidRDefault="00A96D00" w:rsidP="00F8000B">
      <w:pPr>
        <w:pStyle w:val="Ttulospr-textuais"/>
        <w:tabs>
          <w:tab w:val="left" w:leader="dot" w:pos="8647"/>
        </w:tabs>
        <w:spacing w:before="120" w:after="120" w:line="360" w:lineRule="auto"/>
        <w:jc w:val="left"/>
        <w:rPr>
          <w:caps w:val="0"/>
        </w:rPr>
      </w:pPr>
      <w:r>
        <w:rPr>
          <w:caps w:val="0"/>
        </w:rPr>
        <w:t>2.4.3 Princípios da moralidade e probidade.......................................................</w:t>
      </w:r>
      <w:r w:rsidR="001F0197">
        <w:rPr>
          <w:caps w:val="0"/>
        </w:rPr>
        <w:t>..............23</w:t>
      </w:r>
    </w:p>
    <w:p w14:paraId="5B4208B8" w14:textId="77A5B525" w:rsidR="00AF588D" w:rsidRDefault="00AF588D" w:rsidP="00F8000B">
      <w:pPr>
        <w:pStyle w:val="Ttulospr-textuais"/>
        <w:tabs>
          <w:tab w:val="left" w:leader="dot" w:pos="8647"/>
        </w:tabs>
        <w:spacing w:before="120" w:after="120" w:line="360" w:lineRule="auto"/>
        <w:jc w:val="left"/>
        <w:rPr>
          <w:caps w:val="0"/>
        </w:rPr>
      </w:pPr>
      <w:r>
        <w:rPr>
          <w:caps w:val="0"/>
        </w:rPr>
        <w:t>2.4.4 Princípios da igualdade e competitividade................................</w:t>
      </w:r>
      <w:r w:rsidR="001F0197">
        <w:rPr>
          <w:caps w:val="0"/>
        </w:rPr>
        <w:t>..............................23</w:t>
      </w:r>
    </w:p>
    <w:p w14:paraId="00A19F9C" w14:textId="5A17A75E" w:rsidR="00AF588D" w:rsidRDefault="00AF588D" w:rsidP="00F8000B">
      <w:pPr>
        <w:pStyle w:val="Ttulospr-textuais"/>
        <w:tabs>
          <w:tab w:val="left" w:leader="dot" w:pos="8647"/>
        </w:tabs>
        <w:spacing w:before="120" w:after="120" w:line="360" w:lineRule="auto"/>
        <w:jc w:val="left"/>
        <w:rPr>
          <w:caps w:val="0"/>
        </w:rPr>
      </w:pPr>
      <w:r>
        <w:rPr>
          <w:caps w:val="0"/>
        </w:rPr>
        <w:t>2.4.5 Princípios da publicidade, transparência e sigilo das propos</w:t>
      </w:r>
      <w:r w:rsidR="001F0197">
        <w:rPr>
          <w:caps w:val="0"/>
        </w:rPr>
        <w:t>tas...........................24</w:t>
      </w:r>
    </w:p>
    <w:p w14:paraId="62C40875" w14:textId="50748983" w:rsidR="00AF588D" w:rsidRDefault="00AF588D" w:rsidP="00F8000B">
      <w:pPr>
        <w:pStyle w:val="Ttulospr-textuais"/>
        <w:tabs>
          <w:tab w:val="left" w:leader="dot" w:pos="8647"/>
        </w:tabs>
        <w:spacing w:before="120" w:after="120" w:line="360" w:lineRule="auto"/>
        <w:jc w:val="left"/>
        <w:rPr>
          <w:caps w:val="0"/>
        </w:rPr>
      </w:pPr>
      <w:r>
        <w:rPr>
          <w:caps w:val="0"/>
        </w:rPr>
        <w:t>2.4.6 Princípio da vinculação ao edital...............................................</w:t>
      </w:r>
      <w:r w:rsidR="001F0197">
        <w:rPr>
          <w:caps w:val="0"/>
        </w:rPr>
        <w:t>..............................25</w:t>
      </w:r>
    </w:p>
    <w:p w14:paraId="62A68A79" w14:textId="6B2410A8" w:rsidR="00AF588D" w:rsidRDefault="00AF588D" w:rsidP="00F8000B">
      <w:pPr>
        <w:pStyle w:val="Ttulospr-textuais"/>
        <w:tabs>
          <w:tab w:val="left" w:leader="dot" w:pos="8647"/>
        </w:tabs>
        <w:spacing w:before="120" w:after="120" w:line="360" w:lineRule="auto"/>
        <w:jc w:val="left"/>
        <w:rPr>
          <w:caps w:val="0"/>
        </w:rPr>
      </w:pPr>
      <w:r>
        <w:rPr>
          <w:caps w:val="0"/>
        </w:rPr>
        <w:t>2.4.7 Princípio do julgamento objetivo...............................................</w:t>
      </w:r>
      <w:r w:rsidR="00964910">
        <w:rPr>
          <w:caps w:val="0"/>
        </w:rPr>
        <w:t>..............................26</w:t>
      </w:r>
    </w:p>
    <w:p w14:paraId="69882F16" w14:textId="76566A0C" w:rsidR="00AF588D" w:rsidRDefault="00AF588D" w:rsidP="00F8000B">
      <w:pPr>
        <w:pStyle w:val="Ttulospr-textuais"/>
        <w:tabs>
          <w:tab w:val="left" w:leader="dot" w:pos="8647"/>
        </w:tabs>
        <w:spacing w:before="120" w:after="120" w:line="360" w:lineRule="auto"/>
        <w:jc w:val="left"/>
        <w:rPr>
          <w:caps w:val="0"/>
        </w:rPr>
      </w:pPr>
      <w:r>
        <w:rPr>
          <w:caps w:val="0"/>
        </w:rPr>
        <w:t>2.4.8 Princípio da adjudicação compulsória......................................</w:t>
      </w:r>
      <w:r w:rsidR="00964910">
        <w:rPr>
          <w:caps w:val="0"/>
        </w:rPr>
        <w:t>..............................26</w:t>
      </w:r>
    </w:p>
    <w:p w14:paraId="3AC66548" w14:textId="21BEFDCE" w:rsidR="00AF588D" w:rsidRDefault="00AF588D" w:rsidP="00F8000B">
      <w:pPr>
        <w:pStyle w:val="Ttulospr-textuais"/>
        <w:tabs>
          <w:tab w:val="left" w:leader="dot" w:pos="8647"/>
        </w:tabs>
        <w:spacing w:before="120" w:after="120" w:line="360" w:lineRule="auto"/>
        <w:jc w:val="left"/>
        <w:rPr>
          <w:b w:val="0"/>
          <w:caps w:val="0"/>
        </w:rPr>
      </w:pPr>
      <w:r w:rsidRPr="00AF588D">
        <w:rPr>
          <w:b w:val="0"/>
          <w:caps w:val="0"/>
        </w:rPr>
        <w:t>2.5 MODALIDADES</w:t>
      </w:r>
      <w:r>
        <w:rPr>
          <w:b w:val="0"/>
          <w:caps w:val="0"/>
        </w:rPr>
        <w:t xml:space="preserve"> DE LICITAÇÃO................................................</w:t>
      </w:r>
      <w:r w:rsidR="00964910">
        <w:rPr>
          <w:b w:val="0"/>
          <w:caps w:val="0"/>
        </w:rPr>
        <w:t>..............................27</w:t>
      </w:r>
    </w:p>
    <w:p w14:paraId="7111C457" w14:textId="6A003C4F" w:rsidR="00AF588D" w:rsidRDefault="00AF588D" w:rsidP="00F8000B">
      <w:pPr>
        <w:pStyle w:val="Ttulospr-textuais"/>
        <w:tabs>
          <w:tab w:val="left" w:leader="dot" w:pos="8647"/>
        </w:tabs>
        <w:spacing w:before="120" w:after="120" w:line="360" w:lineRule="auto"/>
        <w:jc w:val="left"/>
        <w:rPr>
          <w:caps w:val="0"/>
        </w:rPr>
      </w:pPr>
      <w:r w:rsidRPr="00AF588D">
        <w:rPr>
          <w:caps w:val="0"/>
        </w:rPr>
        <w:t>2.5.1</w:t>
      </w:r>
      <w:r>
        <w:rPr>
          <w:caps w:val="0"/>
        </w:rPr>
        <w:t xml:space="preserve"> Concorrência................................................................................</w:t>
      </w:r>
      <w:r w:rsidR="00964910">
        <w:rPr>
          <w:caps w:val="0"/>
        </w:rPr>
        <w:t>..............................27</w:t>
      </w:r>
    </w:p>
    <w:p w14:paraId="65FB9047" w14:textId="7F5C7FDF" w:rsidR="00AF588D" w:rsidRDefault="00AF588D" w:rsidP="00F8000B">
      <w:pPr>
        <w:pStyle w:val="Ttulospr-textuais"/>
        <w:tabs>
          <w:tab w:val="left" w:leader="dot" w:pos="8647"/>
        </w:tabs>
        <w:spacing w:before="120" w:after="120" w:line="360" w:lineRule="auto"/>
        <w:jc w:val="left"/>
        <w:rPr>
          <w:caps w:val="0"/>
        </w:rPr>
      </w:pPr>
      <w:r>
        <w:rPr>
          <w:caps w:val="0"/>
        </w:rPr>
        <w:t>2.5.2 Tomada de preços........................................................................</w:t>
      </w:r>
      <w:r w:rsidR="00964910">
        <w:rPr>
          <w:caps w:val="0"/>
        </w:rPr>
        <w:t>..............................29</w:t>
      </w:r>
    </w:p>
    <w:p w14:paraId="0AE3B229" w14:textId="41C6B01A" w:rsidR="00AF588D" w:rsidRDefault="00AF588D" w:rsidP="00F8000B">
      <w:pPr>
        <w:pStyle w:val="Ttulospr-textuais"/>
        <w:tabs>
          <w:tab w:val="left" w:leader="dot" w:pos="8647"/>
        </w:tabs>
        <w:spacing w:before="120" w:after="120" w:line="360" w:lineRule="auto"/>
        <w:jc w:val="left"/>
        <w:rPr>
          <w:caps w:val="0"/>
        </w:rPr>
      </w:pPr>
      <w:r>
        <w:rPr>
          <w:caps w:val="0"/>
        </w:rPr>
        <w:t>2.5.3 Convite..........................................................................................</w:t>
      </w:r>
      <w:r w:rsidR="00964910">
        <w:rPr>
          <w:caps w:val="0"/>
        </w:rPr>
        <w:t>..............................30</w:t>
      </w:r>
    </w:p>
    <w:p w14:paraId="68D8C9A1" w14:textId="0C61E6C1" w:rsidR="00AF588D" w:rsidRDefault="00AF588D" w:rsidP="00F8000B">
      <w:pPr>
        <w:pStyle w:val="Ttulospr-textuais"/>
        <w:tabs>
          <w:tab w:val="left" w:leader="dot" w:pos="8647"/>
        </w:tabs>
        <w:spacing w:before="120" w:after="120" w:line="360" w:lineRule="auto"/>
        <w:jc w:val="left"/>
        <w:rPr>
          <w:caps w:val="0"/>
        </w:rPr>
      </w:pPr>
      <w:r>
        <w:rPr>
          <w:caps w:val="0"/>
        </w:rPr>
        <w:t>2.5.4 Concurso.......................................................................................</w:t>
      </w:r>
      <w:r w:rsidR="00964910">
        <w:rPr>
          <w:caps w:val="0"/>
        </w:rPr>
        <w:t>..............................31</w:t>
      </w:r>
    </w:p>
    <w:p w14:paraId="370644B9" w14:textId="52C4F6DE" w:rsidR="00AF588D" w:rsidRDefault="00AF588D" w:rsidP="00F8000B">
      <w:pPr>
        <w:pStyle w:val="Ttulospr-textuais"/>
        <w:tabs>
          <w:tab w:val="left" w:leader="dot" w:pos="8647"/>
        </w:tabs>
        <w:spacing w:before="120" w:after="120" w:line="360" w:lineRule="auto"/>
        <w:jc w:val="left"/>
        <w:rPr>
          <w:caps w:val="0"/>
        </w:rPr>
      </w:pPr>
      <w:r>
        <w:rPr>
          <w:caps w:val="0"/>
        </w:rPr>
        <w:t>2.5.5 Leilão............................................................................................</w:t>
      </w:r>
      <w:r w:rsidR="00964910">
        <w:rPr>
          <w:caps w:val="0"/>
        </w:rPr>
        <w:t>..............................32</w:t>
      </w:r>
    </w:p>
    <w:p w14:paraId="7C0A7A8B" w14:textId="2B5B62D7" w:rsidR="00AF588D" w:rsidRDefault="009F49D8" w:rsidP="00F8000B">
      <w:pPr>
        <w:pStyle w:val="Ttulospr-textuais"/>
        <w:tabs>
          <w:tab w:val="left" w:leader="dot" w:pos="8647"/>
        </w:tabs>
        <w:spacing w:before="120" w:after="120" w:line="360" w:lineRule="auto"/>
        <w:jc w:val="left"/>
        <w:rPr>
          <w:caps w:val="0"/>
        </w:rPr>
      </w:pPr>
      <w:r w:rsidRPr="00B8782F">
        <w:rPr>
          <w:noProof/>
        </w:rPr>
        <w:lastRenderedPageBreak/>
        <mc:AlternateContent>
          <mc:Choice Requires="wps">
            <w:drawing>
              <wp:anchor distT="45720" distB="45720" distL="114300" distR="114300" simplePos="0" relativeHeight="251706368" behindDoc="0" locked="0" layoutInCell="1" allowOverlap="1" wp14:anchorId="2388A901" wp14:editId="02B75B68">
                <wp:simplePos x="0" y="0"/>
                <wp:positionH relativeFrom="margin">
                  <wp:posOffset>5355171</wp:posOffset>
                </wp:positionH>
                <wp:positionV relativeFrom="paragraph">
                  <wp:posOffset>-645543</wp:posOffset>
                </wp:positionV>
                <wp:extent cx="336430" cy="310551"/>
                <wp:effectExtent l="0" t="0" r="6985" b="0"/>
                <wp:wrapNone/>
                <wp:docPr id="1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30" cy="310551"/>
                        </a:xfrm>
                        <a:prstGeom prst="rect">
                          <a:avLst/>
                        </a:prstGeom>
                        <a:solidFill>
                          <a:srgbClr val="FFFFFF"/>
                        </a:solidFill>
                        <a:ln w="9525">
                          <a:noFill/>
                          <a:miter lim="800000"/>
                          <a:headEnd/>
                          <a:tailEnd/>
                        </a:ln>
                      </wps:spPr>
                      <wps:txbx>
                        <w:txbxContent>
                          <w:p w14:paraId="4B6866E0" w14:textId="77777777" w:rsidR="00DF47F4" w:rsidRDefault="00DF47F4" w:rsidP="009F49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8A901" id="_x0000_s1044" type="#_x0000_t202" style="position:absolute;margin-left:421.65pt;margin-top:-50.85pt;width:26.5pt;height:24.4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" stroked="f">
                <v:textbox>
                  <w:txbxContent>
                    <w:p w14:paraId="4B6866E0" w14:textId="77777777" w:rsidR="00DF47F4" w:rsidRDefault="00DF47F4" w:rsidP="009F49D8"/>
                  </w:txbxContent>
                </v:textbox>
                <w10:wrap anchorx="margin"/>
              </v:shape>
            </w:pict>
          </mc:Fallback>
        </mc:AlternateContent>
      </w:r>
      <w:r w:rsidR="00AF588D">
        <w:rPr>
          <w:caps w:val="0"/>
        </w:rPr>
        <w:t>2.5.6 Pregão...........................................................................................</w:t>
      </w:r>
      <w:r w:rsidR="00964910">
        <w:rPr>
          <w:caps w:val="0"/>
        </w:rPr>
        <w:t>..............................33</w:t>
      </w:r>
    </w:p>
    <w:p w14:paraId="1B1092CC" w14:textId="1621EF4E" w:rsidR="00AF588D" w:rsidRDefault="00AF588D" w:rsidP="00F8000B">
      <w:pPr>
        <w:pStyle w:val="Ttulospr-textuais"/>
        <w:tabs>
          <w:tab w:val="left" w:leader="dot" w:pos="8647"/>
        </w:tabs>
        <w:spacing w:before="120" w:after="120" w:line="360" w:lineRule="auto"/>
        <w:jc w:val="left"/>
        <w:rPr>
          <w:b w:val="0"/>
          <w:caps w:val="0"/>
        </w:rPr>
      </w:pPr>
      <w:r w:rsidRPr="00AF588D">
        <w:rPr>
          <w:b w:val="0"/>
          <w:caps w:val="0"/>
        </w:rPr>
        <w:t>2.6 TIPOS DE LICITAÇÃO...............................................</w:t>
      </w:r>
      <w:r>
        <w:rPr>
          <w:b w:val="0"/>
          <w:caps w:val="0"/>
        </w:rPr>
        <w:t>...</w:t>
      </w:r>
      <w:r w:rsidRPr="00AF588D">
        <w:rPr>
          <w:b w:val="0"/>
          <w:caps w:val="0"/>
        </w:rPr>
        <w:t>................</w:t>
      </w:r>
      <w:r w:rsidR="00964910">
        <w:rPr>
          <w:b w:val="0"/>
          <w:caps w:val="0"/>
        </w:rPr>
        <w:t>..............................35</w:t>
      </w:r>
    </w:p>
    <w:p w14:paraId="19FE9794" w14:textId="3B4F39A4" w:rsidR="00AF588D" w:rsidRDefault="00AF588D" w:rsidP="00F8000B">
      <w:pPr>
        <w:pStyle w:val="Ttulospr-textuais"/>
        <w:tabs>
          <w:tab w:val="left" w:leader="dot" w:pos="8647"/>
        </w:tabs>
        <w:spacing w:before="120" w:after="120" w:line="360" w:lineRule="auto"/>
        <w:jc w:val="left"/>
        <w:rPr>
          <w:b w:val="0"/>
          <w:caps w:val="0"/>
        </w:rPr>
      </w:pPr>
      <w:r>
        <w:rPr>
          <w:b w:val="0"/>
          <w:caps w:val="0"/>
        </w:rPr>
        <w:t>2.7 DA PUBLICIDADE.........................................................................</w:t>
      </w:r>
      <w:r w:rsidR="00964910">
        <w:rPr>
          <w:b w:val="0"/>
          <w:caps w:val="0"/>
        </w:rPr>
        <w:t>..............................36</w:t>
      </w:r>
    </w:p>
    <w:p w14:paraId="2A8FE0FD" w14:textId="17027F90" w:rsidR="00AF588D" w:rsidRDefault="00AF588D" w:rsidP="00F8000B">
      <w:pPr>
        <w:pStyle w:val="Ttulospr-textuais"/>
        <w:tabs>
          <w:tab w:val="left" w:leader="dot" w:pos="8647"/>
        </w:tabs>
        <w:spacing w:before="120" w:after="120" w:line="360" w:lineRule="auto"/>
        <w:jc w:val="left"/>
        <w:rPr>
          <w:b w:val="0"/>
          <w:caps w:val="0"/>
        </w:rPr>
      </w:pPr>
      <w:r>
        <w:rPr>
          <w:b w:val="0"/>
          <w:caps w:val="0"/>
        </w:rPr>
        <w:t>2.8 INEXIGIBILIDADE E DISPENSA DE LICITAÇÃO....................</w:t>
      </w:r>
      <w:r w:rsidR="00964910">
        <w:rPr>
          <w:b w:val="0"/>
          <w:caps w:val="0"/>
        </w:rPr>
        <w:t>..............................36</w:t>
      </w:r>
    </w:p>
    <w:p w14:paraId="1E82B875" w14:textId="79FB0C49" w:rsidR="00AF588D" w:rsidRDefault="00AF588D" w:rsidP="00F8000B">
      <w:pPr>
        <w:pStyle w:val="Ttulospr-textuais"/>
        <w:tabs>
          <w:tab w:val="left" w:leader="dot" w:pos="8647"/>
        </w:tabs>
        <w:spacing w:before="120" w:after="120" w:line="360" w:lineRule="auto"/>
        <w:jc w:val="left"/>
        <w:rPr>
          <w:b w:val="0"/>
          <w:caps w:val="0"/>
        </w:rPr>
      </w:pPr>
      <w:r>
        <w:rPr>
          <w:b w:val="0"/>
          <w:caps w:val="0"/>
        </w:rPr>
        <w:t>2.9 NOVA LEI DE LICITAÇÕES Nº 14.133/2021</w:t>
      </w:r>
      <w:r w:rsidR="00D975C1">
        <w:rPr>
          <w:b w:val="0"/>
          <w:caps w:val="0"/>
        </w:rPr>
        <w:t xml:space="preserve"> – </w:t>
      </w:r>
      <w:r w:rsidR="00964910">
        <w:rPr>
          <w:b w:val="0"/>
          <w:caps w:val="0"/>
        </w:rPr>
        <w:t>PRINCIPAIS MUDANÇAS...........37</w:t>
      </w:r>
    </w:p>
    <w:p w14:paraId="3CAD35BF" w14:textId="2A6F0630" w:rsidR="00D975C1" w:rsidRDefault="00D975C1" w:rsidP="00F8000B">
      <w:pPr>
        <w:pStyle w:val="Ttulospr-textuais"/>
        <w:tabs>
          <w:tab w:val="left" w:leader="dot" w:pos="8647"/>
        </w:tabs>
        <w:spacing w:before="120" w:after="120" w:line="360" w:lineRule="auto"/>
        <w:jc w:val="left"/>
        <w:rPr>
          <w:caps w:val="0"/>
        </w:rPr>
      </w:pPr>
      <w:r w:rsidRPr="00D975C1">
        <w:rPr>
          <w:caps w:val="0"/>
        </w:rPr>
        <w:t>3. METODOLOGIA DA PESQUISA.......</w:t>
      </w:r>
      <w:r>
        <w:rPr>
          <w:caps w:val="0"/>
        </w:rPr>
        <w:t>.....................................................................</w:t>
      </w:r>
      <w:r w:rsidR="00964910">
        <w:rPr>
          <w:caps w:val="0"/>
        </w:rPr>
        <w:t>...39</w:t>
      </w:r>
      <w:r w:rsidRPr="00D975C1">
        <w:rPr>
          <w:caps w:val="0"/>
        </w:rPr>
        <w:t xml:space="preserve"> </w:t>
      </w:r>
    </w:p>
    <w:p w14:paraId="6C51D377" w14:textId="240B941E" w:rsidR="00D975C1" w:rsidRDefault="00D975C1" w:rsidP="00F8000B">
      <w:pPr>
        <w:pStyle w:val="Ttulospr-textuais"/>
        <w:tabs>
          <w:tab w:val="left" w:leader="dot" w:pos="8647"/>
        </w:tabs>
        <w:spacing w:before="120" w:after="120" w:line="360" w:lineRule="auto"/>
        <w:jc w:val="left"/>
        <w:rPr>
          <w:caps w:val="0"/>
        </w:rPr>
      </w:pPr>
      <w:r>
        <w:rPr>
          <w:caps w:val="0"/>
        </w:rPr>
        <w:t>4. LICITAÇÕES NO MINICÍPIO DE TAIÓ....................................</w:t>
      </w:r>
      <w:r w:rsidR="00964910">
        <w:rPr>
          <w:caps w:val="0"/>
        </w:rPr>
        <w:t>..............................41</w:t>
      </w:r>
    </w:p>
    <w:p w14:paraId="4662D4F3" w14:textId="594B7282" w:rsidR="00D975C1" w:rsidRDefault="00D975C1" w:rsidP="00F8000B">
      <w:pPr>
        <w:pStyle w:val="Ttulospr-textuais"/>
        <w:tabs>
          <w:tab w:val="left" w:leader="dot" w:pos="8647"/>
        </w:tabs>
        <w:spacing w:before="120" w:after="120" w:line="360" w:lineRule="auto"/>
        <w:jc w:val="left"/>
        <w:rPr>
          <w:b w:val="0"/>
          <w:caps w:val="0"/>
        </w:rPr>
      </w:pPr>
      <w:r w:rsidRPr="00D975C1">
        <w:rPr>
          <w:b w:val="0"/>
          <w:caps w:val="0"/>
        </w:rPr>
        <w:t>4.1 LICITAÇÕES</w:t>
      </w:r>
      <w:r>
        <w:rPr>
          <w:b w:val="0"/>
          <w:caps w:val="0"/>
        </w:rPr>
        <w:t xml:space="preserve"> NO MUNICÍPIO DE TAIÓ – ANO 2017...............</w:t>
      </w:r>
      <w:r w:rsidR="00964910">
        <w:rPr>
          <w:b w:val="0"/>
          <w:caps w:val="0"/>
        </w:rPr>
        <w:t>..............................41</w:t>
      </w:r>
    </w:p>
    <w:p w14:paraId="11E25C9C" w14:textId="43F92B05" w:rsidR="00D975C1" w:rsidRDefault="00D975C1" w:rsidP="00D975C1">
      <w:pPr>
        <w:pStyle w:val="Ttulospr-textuais"/>
        <w:tabs>
          <w:tab w:val="left" w:leader="dot" w:pos="8647"/>
        </w:tabs>
        <w:spacing w:before="120" w:after="120" w:line="360" w:lineRule="auto"/>
        <w:jc w:val="left"/>
        <w:rPr>
          <w:b w:val="0"/>
          <w:caps w:val="0"/>
        </w:rPr>
      </w:pPr>
      <w:r>
        <w:rPr>
          <w:b w:val="0"/>
          <w:caps w:val="0"/>
        </w:rPr>
        <w:t>4.2</w:t>
      </w:r>
      <w:r w:rsidRPr="00D975C1">
        <w:rPr>
          <w:b w:val="0"/>
          <w:caps w:val="0"/>
        </w:rPr>
        <w:t xml:space="preserve"> LICITAÇÕES</w:t>
      </w:r>
      <w:r>
        <w:rPr>
          <w:b w:val="0"/>
          <w:caps w:val="0"/>
        </w:rPr>
        <w:t xml:space="preserve"> NO MUNICÍPIO DE TAIÓ – ANO 2018.............................................</w:t>
      </w:r>
      <w:r w:rsidR="00964910">
        <w:rPr>
          <w:b w:val="0"/>
          <w:caps w:val="0"/>
        </w:rPr>
        <w:t>48</w:t>
      </w:r>
    </w:p>
    <w:p w14:paraId="47979817" w14:textId="64069E5C" w:rsidR="00D975C1" w:rsidRDefault="00D975C1" w:rsidP="00D975C1">
      <w:pPr>
        <w:pStyle w:val="Ttulospr-textuais"/>
        <w:tabs>
          <w:tab w:val="left" w:leader="dot" w:pos="8647"/>
        </w:tabs>
        <w:spacing w:before="120" w:after="120" w:line="360" w:lineRule="auto"/>
        <w:jc w:val="left"/>
        <w:rPr>
          <w:b w:val="0"/>
          <w:caps w:val="0"/>
        </w:rPr>
      </w:pPr>
      <w:r>
        <w:rPr>
          <w:b w:val="0"/>
          <w:caps w:val="0"/>
        </w:rPr>
        <w:t>4.3</w:t>
      </w:r>
      <w:r w:rsidRPr="00D975C1">
        <w:rPr>
          <w:b w:val="0"/>
          <w:caps w:val="0"/>
        </w:rPr>
        <w:t xml:space="preserve"> LICITAÇÕES</w:t>
      </w:r>
      <w:r>
        <w:rPr>
          <w:b w:val="0"/>
          <w:caps w:val="0"/>
        </w:rPr>
        <w:t xml:space="preserve"> NO MUNICÍPIO DE TAIÓ – ANO 2019...............</w:t>
      </w:r>
      <w:r w:rsidR="00964910">
        <w:rPr>
          <w:b w:val="0"/>
          <w:caps w:val="0"/>
        </w:rPr>
        <w:t>..............................54</w:t>
      </w:r>
    </w:p>
    <w:p w14:paraId="22B15F21" w14:textId="4DCFF1EC" w:rsidR="00D975C1" w:rsidRDefault="00D975C1" w:rsidP="00D975C1">
      <w:pPr>
        <w:pStyle w:val="Ttulospr-textuais"/>
        <w:tabs>
          <w:tab w:val="left" w:leader="dot" w:pos="8647"/>
        </w:tabs>
        <w:spacing w:before="120" w:after="120" w:line="360" w:lineRule="auto"/>
        <w:jc w:val="left"/>
        <w:rPr>
          <w:b w:val="0"/>
          <w:caps w:val="0"/>
        </w:rPr>
      </w:pPr>
      <w:r>
        <w:rPr>
          <w:b w:val="0"/>
          <w:caps w:val="0"/>
        </w:rPr>
        <w:t>4.4</w:t>
      </w:r>
      <w:r w:rsidRPr="00D975C1">
        <w:rPr>
          <w:b w:val="0"/>
          <w:caps w:val="0"/>
        </w:rPr>
        <w:t xml:space="preserve"> LICITAÇÕES</w:t>
      </w:r>
      <w:r>
        <w:rPr>
          <w:b w:val="0"/>
          <w:caps w:val="0"/>
        </w:rPr>
        <w:t xml:space="preserve"> NO MUNICÍPIO DE TAIÓ – ANO 2020...............</w:t>
      </w:r>
      <w:r w:rsidR="00964910">
        <w:rPr>
          <w:b w:val="0"/>
          <w:caps w:val="0"/>
        </w:rPr>
        <w:t>..............................61</w:t>
      </w:r>
    </w:p>
    <w:p w14:paraId="68635CD7" w14:textId="53676977" w:rsidR="00D975C1" w:rsidRDefault="00D975C1" w:rsidP="00D975C1">
      <w:pPr>
        <w:pStyle w:val="Ttulospr-textuais"/>
        <w:tabs>
          <w:tab w:val="left" w:leader="dot" w:pos="8647"/>
        </w:tabs>
        <w:spacing w:before="120" w:after="120" w:line="360" w:lineRule="auto"/>
        <w:jc w:val="left"/>
        <w:rPr>
          <w:b w:val="0"/>
          <w:caps w:val="0"/>
        </w:rPr>
      </w:pPr>
      <w:r>
        <w:rPr>
          <w:b w:val="0"/>
          <w:caps w:val="0"/>
        </w:rPr>
        <w:t>4.5</w:t>
      </w:r>
      <w:r w:rsidRPr="00D975C1">
        <w:rPr>
          <w:b w:val="0"/>
          <w:caps w:val="0"/>
        </w:rPr>
        <w:t xml:space="preserve"> LICITAÇÕES</w:t>
      </w:r>
      <w:r>
        <w:rPr>
          <w:b w:val="0"/>
          <w:caps w:val="0"/>
        </w:rPr>
        <w:t xml:space="preserve"> NO MUNICÍPIO DE TAIÓ – EVOLUÇÃO ENTRE  2017/2020..</w:t>
      </w:r>
      <w:r w:rsidR="00964910">
        <w:rPr>
          <w:b w:val="0"/>
          <w:caps w:val="0"/>
        </w:rPr>
        <w:t>......67</w:t>
      </w:r>
    </w:p>
    <w:p w14:paraId="046E9389" w14:textId="52822B61" w:rsidR="00D975C1" w:rsidRDefault="00D975C1" w:rsidP="00D975C1">
      <w:pPr>
        <w:pStyle w:val="Ttulospr-textuais"/>
        <w:tabs>
          <w:tab w:val="left" w:leader="dot" w:pos="8647"/>
        </w:tabs>
        <w:spacing w:before="120" w:after="120" w:line="360" w:lineRule="auto"/>
        <w:jc w:val="left"/>
        <w:rPr>
          <w:caps w:val="0"/>
        </w:rPr>
      </w:pPr>
      <w:r w:rsidRPr="00D975C1">
        <w:rPr>
          <w:caps w:val="0"/>
        </w:rPr>
        <w:t>5. CONCLUSÃO..........</w:t>
      </w:r>
      <w:r>
        <w:rPr>
          <w:caps w:val="0"/>
        </w:rPr>
        <w:t>.................................................................................................</w:t>
      </w:r>
      <w:r w:rsidR="00964910">
        <w:rPr>
          <w:caps w:val="0"/>
        </w:rPr>
        <w:t>.....75</w:t>
      </w:r>
    </w:p>
    <w:p w14:paraId="4F740C92" w14:textId="777029D7" w:rsidR="00D975C1" w:rsidRDefault="00D975C1" w:rsidP="00D975C1">
      <w:pPr>
        <w:pStyle w:val="Ttulospr-textuais"/>
        <w:tabs>
          <w:tab w:val="left" w:leader="dot" w:pos="8647"/>
        </w:tabs>
        <w:spacing w:before="120" w:after="120" w:line="360" w:lineRule="auto"/>
        <w:jc w:val="left"/>
        <w:rPr>
          <w:caps w:val="0"/>
        </w:rPr>
      </w:pPr>
      <w:r>
        <w:rPr>
          <w:caps w:val="0"/>
        </w:rPr>
        <w:t>REFERÊNCIAS.............................................................................................................</w:t>
      </w:r>
      <w:r w:rsidR="00964910">
        <w:rPr>
          <w:caps w:val="0"/>
        </w:rPr>
        <w:t>....77</w:t>
      </w:r>
    </w:p>
    <w:p w14:paraId="4415187C" w14:textId="26686B1C" w:rsidR="00964910" w:rsidRPr="00D975C1" w:rsidRDefault="00BF4D68" w:rsidP="00D975C1">
      <w:pPr>
        <w:pStyle w:val="Ttulospr-textuais"/>
        <w:tabs>
          <w:tab w:val="left" w:leader="dot" w:pos="8647"/>
        </w:tabs>
        <w:spacing w:before="120" w:after="120" w:line="360" w:lineRule="auto"/>
        <w:jc w:val="left"/>
        <w:rPr>
          <w:caps w:val="0"/>
        </w:rPr>
      </w:pPr>
      <w:r>
        <w:rPr>
          <w:caps w:val="0"/>
        </w:rPr>
        <w:t>ANEXO...</w:t>
      </w:r>
      <w:r w:rsidR="00964910">
        <w:rPr>
          <w:caps w:val="0"/>
        </w:rPr>
        <w:t>.............................................................................................................................79</w:t>
      </w:r>
    </w:p>
    <w:p w14:paraId="4CCA3AAA" w14:textId="77777777" w:rsidR="00D975C1" w:rsidRDefault="00D975C1" w:rsidP="00D975C1">
      <w:pPr>
        <w:pStyle w:val="Ttulospr-textuais"/>
        <w:tabs>
          <w:tab w:val="left" w:leader="dot" w:pos="8647"/>
        </w:tabs>
        <w:spacing w:before="120" w:after="120" w:line="360" w:lineRule="auto"/>
        <w:jc w:val="left"/>
        <w:rPr>
          <w:b w:val="0"/>
          <w:caps w:val="0"/>
        </w:rPr>
      </w:pPr>
    </w:p>
    <w:p w14:paraId="3DFBCDEC" w14:textId="77777777" w:rsidR="00D975C1" w:rsidRDefault="00D975C1" w:rsidP="00D975C1">
      <w:pPr>
        <w:pStyle w:val="Ttulospr-textuais"/>
        <w:tabs>
          <w:tab w:val="left" w:leader="dot" w:pos="8647"/>
        </w:tabs>
        <w:spacing w:before="120" w:after="120" w:line="360" w:lineRule="auto"/>
        <w:jc w:val="left"/>
        <w:rPr>
          <w:b w:val="0"/>
          <w:caps w:val="0"/>
        </w:rPr>
      </w:pPr>
    </w:p>
    <w:p w14:paraId="43685911" w14:textId="77777777" w:rsidR="00D975C1" w:rsidRDefault="00D975C1" w:rsidP="00D975C1">
      <w:pPr>
        <w:pStyle w:val="Ttulospr-textuais"/>
        <w:tabs>
          <w:tab w:val="left" w:leader="dot" w:pos="8647"/>
        </w:tabs>
        <w:spacing w:before="120" w:after="120" w:line="360" w:lineRule="auto"/>
        <w:jc w:val="left"/>
        <w:rPr>
          <w:b w:val="0"/>
          <w:caps w:val="0"/>
        </w:rPr>
      </w:pPr>
    </w:p>
    <w:p w14:paraId="4C4643A9" w14:textId="77777777" w:rsidR="00514B92" w:rsidRDefault="00514B92" w:rsidP="00F8000B">
      <w:pPr>
        <w:pStyle w:val="Ttulospr-textuais"/>
        <w:tabs>
          <w:tab w:val="left" w:leader="dot" w:pos="8647"/>
        </w:tabs>
        <w:spacing w:before="120" w:after="120" w:line="360" w:lineRule="auto"/>
        <w:jc w:val="left"/>
        <w:rPr>
          <w:b w:val="0"/>
          <w:caps w:val="0"/>
        </w:rPr>
      </w:pPr>
    </w:p>
    <w:p w14:paraId="3E9E976A" w14:textId="77777777" w:rsidR="00AA10EA" w:rsidRPr="00720A7D" w:rsidRDefault="00AA10EA" w:rsidP="00F8000B">
      <w:pPr>
        <w:pStyle w:val="Ttulospr-textuais"/>
        <w:tabs>
          <w:tab w:val="left" w:leader="dot" w:pos="8647"/>
        </w:tabs>
        <w:spacing w:before="120" w:after="120" w:line="360" w:lineRule="auto"/>
        <w:jc w:val="left"/>
        <w:rPr>
          <w:b w:val="0"/>
        </w:rPr>
      </w:pPr>
    </w:p>
    <w:p w14:paraId="6523A25C" w14:textId="77777777" w:rsidR="00AA10EA" w:rsidRPr="00B33EA9" w:rsidRDefault="00AA10EA" w:rsidP="00F8000B"/>
    <w:p w14:paraId="23188FFF" w14:textId="77777777" w:rsidR="00AA10EA" w:rsidRPr="00B33EA9" w:rsidRDefault="00AA10EA" w:rsidP="00F8000B"/>
    <w:p w14:paraId="0058E4AF" w14:textId="77777777" w:rsidR="00AA10EA" w:rsidRDefault="00AA10EA" w:rsidP="00F174EE">
      <w:pPr>
        <w:pStyle w:val="UNIDAVISEOPRIMRIA"/>
        <w:rPr>
          <w:lang w:val="pt-BR"/>
        </w:rPr>
      </w:pPr>
    </w:p>
    <w:p w14:paraId="6D49C625" w14:textId="77777777" w:rsidR="00AA10EA" w:rsidRDefault="00AA10EA" w:rsidP="00F174EE">
      <w:pPr>
        <w:pStyle w:val="UNIDAVISEOPRIMRIA"/>
        <w:rPr>
          <w:lang w:val="pt-BR"/>
        </w:rPr>
      </w:pPr>
    </w:p>
    <w:p w14:paraId="4243589A" w14:textId="77777777" w:rsidR="00AA10EA" w:rsidRDefault="00AA10EA" w:rsidP="00F174EE">
      <w:pPr>
        <w:pStyle w:val="UNIDAVISEOPRIMRIA"/>
        <w:rPr>
          <w:lang w:val="pt-BR"/>
        </w:rPr>
      </w:pPr>
    </w:p>
    <w:p w14:paraId="2CAAE809" w14:textId="77777777" w:rsidR="00AA10EA" w:rsidRDefault="00AA10EA" w:rsidP="00F174EE">
      <w:pPr>
        <w:pStyle w:val="UNIDAVISEOPRIMRIA"/>
        <w:rPr>
          <w:lang w:val="pt-BR"/>
        </w:rPr>
      </w:pPr>
    </w:p>
    <w:p w14:paraId="33945DD0" w14:textId="77777777" w:rsidR="00AA10EA" w:rsidRDefault="00AA10EA" w:rsidP="00F174EE">
      <w:pPr>
        <w:pStyle w:val="UNIDAVISEOPRIMRIA"/>
        <w:rPr>
          <w:lang w:val="pt-BR"/>
        </w:rPr>
      </w:pPr>
    </w:p>
    <w:p w14:paraId="5DDFC569" w14:textId="77777777" w:rsidR="00AA10EA" w:rsidRDefault="00AA10EA" w:rsidP="00F174EE">
      <w:pPr>
        <w:pStyle w:val="UNIDAVISEOPRIMRIA"/>
        <w:rPr>
          <w:lang w:val="pt-BR"/>
        </w:rPr>
      </w:pPr>
    </w:p>
    <w:p w14:paraId="6CA5269B" w14:textId="77777777" w:rsidR="00AA10EA" w:rsidRDefault="00AA10EA" w:rsidP="00F174EE">
      <w:pPr>
        <w:pStyle w:val="UNIDAVISEOPRIMRIA"/>
        <w:rPr>
          <w:lang w:val="pt-BR"/>
        </w:rPr>
      </w:pPr>
    </w:p>
    <w:p w14:paraId="7AED3965" w14:textId="67B18F50" w:rsidR="00AF4746" w:rsidRDefault="00AF4746">
      <w:pPr>
        <w:spacing w:after="160" w:line="259" w:lineRule="auto"/>
        <w:rPr>
          <w:b/>
          <w:caps/>
        </w:rPr>
      </w:pPr>
    </w:p>
    <w:p w14:paraId="21D3DA63" w14:textId="77777777" w:rsidR="00D975C1" w:rsidRDefault="00D975C1">
      <w:pPr>
        <w:spacing w:after="160" w:line="259" w:lineRule="auto"/>
        <w:rPr>
          <w:b/>
          <w:caps/>
        </w:rPr>
      </w:pPr>
    </w:p>
    <w:p w14:paraId="4588E0D4" w14:textId="77777777" w:rsidR="004E5221" w:rsidRDefault="004E5221" w:rsidP="00213B0F">
      <w:pPr>
        <w:pStyle w:val="UNIDAVISEOPRIMRIA"/>
        <w:spacing w:line="360" w:lineRule="auto"/>
        <w:rPr>
          <w:lang w:val="pt-BR"/>
        </w:rPr>
      </w:pPr>
    </w:p>
    <w:p w14:paraId="1B555DEE" w14:textId="6CC7BC1F" w:rsidR="00F174EE" w:rsidRDefault="00F174EE" w:rsidP="00213B0F">
      <w:pPr>
        <w:pStyle w:val="UNIDAVISEOPRIMRIA"/>
        <w:spacing w:line="360" w:lineRule="auto"/>
        <w:rPr>
          <w:lang w:val="pt-BR"/>
        </w:rPr>
      </w:pPr>
      <w:r w:rsidRPr="00EB1318">
        <w:rPr>
          <w:lang w:val="pt-BR"/>
        </w:rPr>
        <w:t xml:space="preserve">1. </w:t>
      </w:r>
      <w:r>
        <w:rPr>
          <w:lang w:val="pt-BR"/>
        </w:rPr>
        <w:t>introdução</w:t>
      </w:r>
    </w:p>
    <w:p w14:paraId="2D94D04C" w14:textId="77777777" w:rsidR="00BE7321" w:rsidRDefault="00BE7321" w:rsidP="00213B0F">
      <w:pPr>
        <w:pStyle w:val="UnidaviTexto-Espao15"/>
      </w:pPr>
    </w:p>
    <w:p w14:paraId="0CF9C06B" w14:textId="3DB4E5A1" w:rsidR="00F174EE" w:rsidRDefault="00460365" w:rsidP="00213B0F">
      <w:pPr>
        <w:pStyle w:val="UnidaviTexto-Espao15"/>
      </w:pPr>
      <w:r>
        <w:t xml:space="preserve">Ao longo do tempo, a Administração Pública tem trabalhado de acordo com as leis impostas ao nosso país, a fim de tornar cada vez mais transparentes, as decisões tomadas pelos gestores. </w:t>
      </w:r>
      <w:r w:rsidR="00AC7D1F">
        <w:t xml:space="preserve">Conforme Meirelles (2006), a finalidade da Administração Pública, nada mais é, do que gerir o bem comum da coletividade, ou seja, a população. </w:t>
      </w:r>
      <w:r>
        <w:t xml:space="preserve">Apesar de todo esse esforço, ainda existe uma </w:t>
      </w:r>
      <w:r w:rsidR="00722FAF">
        <w:t xml:space="preserve">parcela </w:t>
      </w:r>
      <w:r w:rsidR="001C0047">
        <w:t xml:space="preserve">dos cidadãos, </w:t>
      </w:r>
      <w:r>
        <w:t xml:space="preserve">que não </w:t>
      </w:r>
      <w:r w:rsidR="00722FAF">
        <w:t xml:space="preserve">conhece </w:t>
      </w:r>
      <w:r>
        <w:t xml:space="preserve">os procedimentos adotados </w:t>
      </w:r>
      <w:r w:rsidR="00722FAF">
        <w:t xml:space="preserve">pela Administração Pública. Um exemplo disso, é o setor de aquisição de bens e serviços, onde é necessário que os órgãos públicos realizem todo um procedimento, </w:t>
      </w:r>
      <w:r w:rsidR="00DC3E8B">
        <w:t>repleto</w:t>
      </w:r>
      <w:r w:rsidR="00722FAF">
        <w:t xml:space="preserve"> de leis e regras a serem seguidas, para poder adquirir e suprir suas necessidades.</w:t>
      </w:r>
    </w:p>
    <w:p w14:paraId="3325E303" w14:textId="0FDE8148" w:rsidR="00722FAF" w:rsidRDefault="005E4BA7" w:rsidP="00F174EE">
      <w:pPr>
        <w:pStyle w:val="UnidaviTexto-Espao15"/>
      </w:pPr>
      <w:r>
        <w:t>Esse procedimento a ser reali</w:t>
      </w:r>
      <w:r w:rsidR="008C63A2">
        <w:t>zado pela Administração Pública</w:t>
      </w:r>
      <w:r>
        <w:t xml:space="preserve"> é chamado de Licitação. De acordo a Lei </w:t>
      </w:r>
      <w:r w:rsidR="0037482F">
        <w:t xml:space="preserve">nº </w:t>
      </w:r>
      <w:r>
        <w:t>8.666/93, sempre que os órgãos públicos precisarem adquirir ou contratar bens e serviços de qualquer espécie, essas aquisições deverão ser precedidas por todas as regras que envolvem o respectivo processo licitatório. Por esse fato, de ter todo um rito a ser seguido, algumas empresas desistem de participar das licitações</w:t>
      </w:r>
      <w:r w:rsidR="00A20D16">
        <w:t>, por</w:t>
      </w:r>
      <w:r w:rsidR="00DC3E8B">
        <w:t xml:space="preserve"> não ter conhecimento</w:t>
      </w:r>
      <w:r>
        <w:t xml:space="preserve"> de como acontece</w:t>
      </w:r>
      <w:r w:rsidR="00A20D16">
        <w:t>, e de como</w:t>
      </w:r>
      <w:r>
        <w:t xml:space="preserve"> tornar</w:t>
      </w:r>
      <w:r w:rsidR="00A20D16">
        <w:t>-se</w:t>
      </w:r>
      <w:r>
        <w:t xml:space="preserve"> um fornecedor do governo</w:t>
      </w:r>
      <w:r w:rsidR="00FE28BB">
        <w:t>,</w:t>
      </w:r>
      <w:r>
        <w:t xml:space="preserve"> perdendo </w:t>
      </w:r>
      <w:r w:rsidR="00DC3E8B">
        <w:t>assim</w:t>
      </w:r>
      <w:r w:rsidR="00FE28BB">
        <w:t xml:space="preserve"> </w:t>
      </w:r>
      <w:r>
        <w:t>oportunidades importantes para o desenvolvimento de seu negócio.</w:t>
      </w:r>
    </w:p>
    <w:p w14:paraId="24DC2005" w14:textId="1402B401" w:rsidR="002D39B6" w:rsidRDefault="00405A13" w:rsidP="00F174EE">
      <w:pPr>
        <w:pStyle w:val="UnidaviTexto-Espao15"/>
      </w:pPr>
      <w:r>
        <w:t>Conforme</w:t>
      </w:r>
      <w:r w:rsidR="00094510">
        <w:t xml:space="preserve"> Andrade (2017), o</w:t>
      </w:r>
      <w:r w:rsidR="002D39B6">
        <w:t xml:space="preserve"> setor público é um setor muito controlado</w:t>
      </w:r>
      <w:r w:rsidR="00B7162B">
        <w:t xml:space="preserve"> </w:t>
      </w:r>
      <w:r w:rsidR="00CD43AC">
        <w:t xml:space="preserve">e </w:t>
      </w:r>
      <w:r w:rsidR="001C0047">
        <w:t xml:space="preserve">também </w:t>
      </w:r>
      <w:r w:rsidR="00CD43AC">
        <w:t>preocupado com a qualidade de sua gestão</w:t>
      </w:r>
      <w:r w:rsidR="00C21ED9">
        <w:t>,</w:t>
      </w:r>
      <w:r w:rsidR="00347519">
        <w:t xml:space="preserve"> </w:t>
      </w:r>
      <w:r w:rsidR="00094510">
        <w:t xml:space="preserve">porém todas as suas decisões devem ser tomadas com base naquilo que a lei determina. </w:t>
      </w:r>
      <w:r w:rsidR="00347519">
        <w:t xml:space="preserve">Em contrapartida, nem sempre é possível resolver tudo com rapidez e agilidade, visto que a Administração Pública está sujeita à </w:t>
      </w:r>
      <w:r w:rsidR="00094510">
        <w:t xml:space="preserve">tais </w:t>
      </w:r>
      <w:r w:rsidR="00347519">
        <w:t xml:space="preserve">normas e leis, </w:t>
      </w:r>
      <w:r w:rsidR="00824748">
        <w:t>aliadas</w:t>
      </w:r>
      <w:r w:rsidR="00094510">
        <w:t xml:space="preserve"> à escassez de recursos que não suprem as demandas da população e </w:t>
      </w:r>
      <w:r w:rsidR="00E704AE">
        <w:t xml:space="preserve">acabam por burocratizar os processos. Mas ao que se refere à transparência, todas as informações relacionadas as atividades do setor público são disponibilizadas no portal </w:t>
      </w:r>
      <w:r w:rsidR="00A60D51">
        <w:t>da</w:t>
      </w:r>
      <w:r w:rsidR="00F462D9">
        <w:t xml:space="preserve"> transparência dos municípios o</w:t>
      </w:r>
      <w:r w:rsidR="00E704AE">
        <w:t>nde todo e qualquer c</w:t>
      </w:r>
      <w:r w:rsidR="00A60D51">
        <w:t>idadão pode acessar,</w:t>
      </w:r>
      <w:r w:rsidR="00782B4C">
        <w:t xml:space="preserve"> verificar as informações</w:t>
      </w:r>
      <w:r w:rsidR="00E704AE">
        <w:t xml:space="preserve"> e</w:t>
      </w:r>
      <w:r w:rsidR="00A60D51">
        <w:t xml:space="preserve"> exercer </w:t>
      </w:r>
      <w:r w:rsidR="00E704AE">
        <w:t>seu direito</w:t>
      </w:r>
      <w:r w:rsidR="00A60D51">
        <w:t xml:space="preserve"> descrito na Constituição Federal de 1988, onde diz que é direito de todos, receber as informações dos órgãos públicos, seja de</w:t>
      </w:r>
      <w:r w:rsidR="00413F81">
        <w:t xml:space="preserve"> seu interesse particular</w:t>
      </w:r>
      <w:r w:rsidR="004E5FEC">
        <w:t xml:space="preserve"> ou de</w:t>
      </w:r>
      <w:r w:rsidR="00A60D51">
        <w:t xml:space="preserve"> </w:t>
      </w:r>
      <w:r w:rsidR="004E5FEC">
        <w:t>comum.</w:t>
      </w:r>
    </w:p>
    <w:p w14:paraId="3F5148CE" w14:textId="34576506" w:rsidR="00F174EE" w:rsidRDefault="00405A13" w:rsidP="00B80A5B">
      <w:pPr>
        <w:pStyle w:val="UnidaviTexto-Espao15"/>
      </w:pPr>
      <w:r>
        <w:t>Segundo Bacellar (2006, p. 110)</w:t>
      </w:r>
      <w:r w:rsidR="008C63A2">
        <w:t>,</w:t>
      </w:r>
      <w:r>
        <w:t xml:space="preserve"> a licitação “É um procedimento administrativo através do qual a administração pública seleciona o melhor contratante.”. </w:t>
      </w:r>
      <w:r w:rsidR="009D5D54">
        <w:t>Dessa forma</w:t>
      </w:r>
      <w:r w:rsidR="008C63A2">
        <w:t>,</w:t>
      </w:r>
      <w:r w:rsidR="009D5D54">
        <w:t xml:space="preserve"> o presente trabalho visa d</w:t>
      </w:r>
      <w:r w:rsidR="00FE28BB">
        <w:t xml:space="preserve">emonstrar como acontecem </w:t>
      </w:r>
      <w:r w:rsidR="00AC7D1F">
        <w:t>esses procedimentos</w:t>
      </w:r>
      <w:r w:rsidR="00FE28BB">
        <w:t xml:space="preserve"> </w:t>
      </w:r>
      <w:r w:rsidR="00F9462F">
        <w:t>na esfera municipal</w:t>
      </w:r>
      <w:r w:rsidR="00FE28BB" w:rsidRPr="00F9462F">
        <w:t>,</w:t>
      </w:r>
      <w:r w:rsidR="00F462D9">
        <w:t xml:space="preserve"> visto que</w:t>
      </w:r>
      <w:r w:rsidR="00067E29">
        <w:t xml:space="preserve"> é a oportunidade de obs</w:t>
      </w:r>
      <w:r w:rsidR="00F9462F">
        <w:t xml:space="preserve">ervar a realidade mais próxima no </w:t>
      </w:r>
      <w:r w:rsidR="00067E29">
        <w:t>dia a dia</w:t>
      </w:r>
      <w:r w:rsidR="00F9462F">
        <w:t xml:space="preserve"> dos munícipes</w:t>
      </w:r>
      <w:r w:rsidR="00067E29">
        <w:t xml:space="preserve"> </w:t>
      </w:r>
      <w:r w:rsidR="00AC7D1F">
        <w:t xml:space="preserve">e </w:t>
      </w:r>
      <w:r w:rsidR="00067E29">
        <w:t xml:space="preserve">assim, </w:t>
      </w:r>
      <w:r w:rsidR="00AC7D1F">
        <w:t xml:space="preserve">despertar o interesse dos mesmos, não apenas em adquirir o conhecimento sobre o </w:t>
      </w:r>
      <w:r w:rsidR="00AC7D1F">
        <w:lastRenderedPageBreak/>
        <w:t xml:space="preserve">assunto, mas também </w:t>
      </w:r>
      <w:r w:rsidR="001F28C8">
        <w:t>influenciar esse cidadão a</w:t>
      </w:r>
      <w:r w:rsidR="00067E29">
        <w:t xml:space="preserve"> tornar-se um</w:t>
      </w:r>
      <w:r w:rsidR="00AC7D1F">
        <w:t xml:space="preserve"> possível </w:t>
      </w:r>
      <w:r w:rsidR="00F462D9">
        <w:t>fornecedor do governo</w:t>
      </w:r>
      <w:r>
        <w:t>.</w:t>
      </w:r>
    </w:p>
    <w:p w14:paraId="17CB6EA0" w14:textId="77777777" w:rsidR="00264510" w:rsidRDefault="00264510" w:rsidP="00264510">
      <w:pPr>
        <w:pStyle w:val="UnidaviTexto-Espao15"/>
      </w:pPr>
    </w:p>
    <w:p w14:paraId="2C62D6B6" w14:textId="77777777" w:rsidR="00F174EE" w:rsidRDefault="00F174EE" w:rsidP="00626E5C">
      <w:pPr>
        <w:pStyle w:val="UNIDAVISEOSECUNDARIA"/>
        <w:spacing w:line="360" w:lineRule="auto"/>
      </w:pPr>
      <w:r>
        <w:t>1.</w:t>
      </w:r>
      <w:r w:rsidR="00C75F42">
        <w:t>1</w:t>
      </w:r>
      <w:r>
        <w:t xml:space="preserve"> PROBLEMA DE PESQUISA</w:t>
      </w:r>
    </w:p>
    <w:p w14:paraId="66D4AA3F" w14:textId="0EAAA0BB" w:rsidR="00C75F42" w:rsidRDefault="00C75F42" w:rsidP="00626E5C">
      <w:pPr>
        <w:pStyle w:val="UnidaviTexto-Espao15"/>
        <w:ind w:firstLine="0"/>
      </w:pPr>
    </w:p>
    <w:p w14:paraId="07941C04" w14:textId="426408DE" w:rsidR="00F174EE" w:rsidRPr="00F174EE" w:rsidRDefault="00D72657" w:rsidP="00626E5C">
      <w:pPr>
        <w:pStyle w:val="UnidaviTexto-Espao15"/>
      </w:pPr>
      <w:r>
        <w:t>Como se caracteriza o</w:t>
      </w:r>
      <w:r w:rsidR="00D855EC">
        <w:t xml:space="preserve"> processo licitatório no município de Taió?</w:t>
      </w:r>
    </w:p>
    <w:p w14:paraId="580372DC" w14:textId="77777777" w:rsidR="00F174EE" w:rsidRDefault="00F174EE" w:rsidP="00626E5C">
      <w:pPr>
        <w:spacing w:line="360" w:lineRule="auto"/>
      </w:pPr>
    </w:p>
    <w:p w14:paraId="7C20B498" w14:textId="77777777" w:rsidR="00F174EE" w:rsidRPr="00F174EE" w:rsidRDefault="00F174EE" w:rsidP="00626E5C">
      <w:pPr>
        <w:pStyle w:val="UNIDAVISEOSECUNDARIA"/>
        <w:spacing w:line="360" w:lineRule="auto"/>
      </w:pPr>
      <w:r w:rsidRPr="00F174EE">
        <w:t>1.</w:t>
      </w:r>
      <w:r w:rsidR="00C75F42">
        <w:t>2</w:t>
      </w:r>
      <w:r w:rsidRPr="00F174EE">
        <w:t xml:space="preserve"> Objetivos</w:t>
      </w:r>
    </w:p>
    <w:p w14:paraId="2CADA631" w14:textId="31F30F2D" w:rsidR="00F174EE" w:rsidRPr="00047C8F" w:rsidRDefault="00F174EE" w:rsidP="00626E5C">
      <w:pPr>
        <w:spacing w:line="360" w:lineRule="auto"/>
      </w:pPr>
    </w:p>
    <w:p w14:paraId="1CCD65CB" w14:textId="77777777" w:rsidR="00F174EE" w:rsidRPr="00047C8F" w:rsidRDefault="00F174EE" w:rsidP="00626E5C">
      <w:pPr>
        <w:pStyle w:val="UnidaviSeoTerciria"/>
      </w:pPr>
      <w:r w:rsidRPr="00047C8F">
        <w:t>1.</w:t>
      </w:r>
      <w:r w:rsidR="00C75F42">
        <w:t>2</w:t>
      </w:r>
      <w:r w:rsidRPr="00047C8F">
        <w:t>.1 Geral</w:t>
      </w:r>
    </w:p>
    <w:p w14:paraId="0EC6D4DF" w14:textId="77777777" w:rsidR="00F174EE" w:rsidRPr="00047C8F" w:rsidRDefault="00F174EE" w:rsidP="00626E5C">
      <w:pPr>
        <w:spacing w:line="360" w:lineRule="auto"/>
      </w:pPr>
    </w:p>
    <w:p w14:paraId="7CE1245B" w14:textId="00C0D61F" w:rsidR="00F174EE" w:rsidRPr="00047C8F" w:rsidRDefault="00D855EC" w:rsidP="00626E5C">
      <w:pPr>
        <w:pStyle w:val="UnidaviTexto-Espao15"/>
        <w:numPr>
          <w:ilvl w:val="0"/>
          <w:numId w:val="1"/>
        </w:numPr>
      </w:pPr>
      <w:r>
        <w:t xml:space="preserve">Examinar </w:t>
      </w:r>
      <w:r w:rsidR="00DF47F4">
        <w:t>as características d</w:t>
      </w:r>
      <w:r w:rsidR="00D72657">
        <w:t xml:space="preserve">o </w:t>
      </w:r>
      <w:r>
        <w:t xml:space="preserve">processo licitatório da Prefeitura </w:t>
      </w:r>
      <w:r w:rsidR="00DF47F4">
        <w:t xml:space="preserve">Municipal </w:t>
      </w:r>
      <w:r>
        <w:t>do Município de Taió</w:t>
      </w:r>
      <w:r w:rsidR="00DF47F4">
        <w:t>/SC</w:t>
      </w:r>
      <w:r>
        <w:t>.</w:t>
      </w:r>
    </w:p>
    <w:p w14:paraId="0A32415D" w14:textId="5D5AA5EE" w:rsidR="00F174EE" w:rsidRPr="00047C8F" w:rsidRDefault="00F174EE" w:rsidP="00626E5C">
      <w:pPr>
        <w:spacing w:line="360" w:lineRule="auto"/>
      </w:pPr>
    </w:p>
    <w:p w14:paraId="450244FB" w14:textId="77777777" w:rsidR="00F174EE" w:rsidRPr="00047C8F" w:rsidRDefault="00F174EE" w:rsidP="00626E5C">
      <w:pPr>
        <w:pStyle w:val="UnidaviSeoTerciria"/>
      </w:pPr>
      <w:r w:rsidRPr="00047C8F">
        <w:t>1.</w:t>
      </w:r>
      <w:r w:rsidR="00C75F42">
        <w:t>2</w:t>
      </w:r>
      <w:r w:rsidRPr="00047C8F">
        <w:t>.2 Específicos</w:t>
      </w:r>
    </w:p>
    <w:p w14:paraId="031D33DE" w14:textId="77777777" w:rsidR="00F174EE" w:rsidRPr="00047C8F" w:rsidRDefault="00F174EE" w:rsidP="00626E5C">
      <w:pPr>
        <w:spacing w:line="360" w:lineRule="auto"/>
      </w:pPr>
    </w:p>
    <w:p w14:paraId="125B8798" w14:textId="4F30F049" w:rsidR="00F174EE" w:rsidRPr="00047C8F" w:rsidRDefault="00D855EC" w:rsidP="00F174EE">
      <w:pPr>
        <w:pStyle w:val="UnidaviTexto-Espao15"/>
        <w:numPr>
          <w:ilvl w:val="0"/>
          <w:numId w:val="1"/>
        </w:numPr>
      </w:pPr>
      <w:r>
        <w:t>Descrever as modalidades de licitaç</w:t>
      </w:r>
      <w:r w:rsidR="00345FC6">
        <w:t xml:space="preserve">ão utilizadas </w:t>
      </w:r>
      <w:r w:rsidR="00DF47F4">
        <w:t xml:space="preserve">e levantar os processos ocorridos </w:t>
      </w:r>
      <w:r w:rsidR="00345FC6">
        <w:t>no período de 2017</w:t>
      </w:r>
      <w:r>
        <w:t xml:space="preserve"> a 2020;</w:t>
      </w:r>
    </w:p>
    <w:p w14:paraId="5C6D91AF" w14:textId="3E628DA5" w:rsidR="00F174EE" w:rsidRPr="00047C8F" w:rsidRDefault="00D855EC" w:rsidP="00F174EE">
      <w:pPr>
        <w:pStyle w:val="UnidaviTexto-Espao15"/>
        <w:numPr>
          <w:ilvl w:val="0"/>
          <w:numId w:val="1"/>
        </w:numPr>
      </w:pPr>
      <w:r>
        <w:t>Identificar o</w:t>
      </w:r>
      <w:r w:rsidR="0087573A">
        <w:t>s</w:t>
      </w:r>
      <w:r>
        <w:t xml:space="preserve"> valor</w:t>
      </w:r>
      <w:r w:rsidR="0087573A">
        <w:t>es licitados</w:t>
      </w:r>
      <w:r>
        <w:t xml:space="preserve"> anualmente;</w:t>
      </w:r>
    </w:p>
    <w:p w14:paraId="727AD1A5" w14:textId="74868848" w:rsidR="00F174EE" w:rsidRPr="00047C8F" w:rsidRDefault="00D855EC" w:rsidP="00F174EE">
      <w:pPr>
        <w:pStyle w:val="UnidaviTexto-Espao15"/>
        <w:numPr>
          <w:ilvl w:val="0"/>
          <w:numId w:val="1"/>
        </w:numPr>
      </w:pPr>
      <w:r>
        <w:t xml:space="preserve">Demonstrar os valores gastos na aquisição de </w:t>
      </w:r>
      <w:r w:rsidR="005267C2">
        <w:t xml:space="preserve">cada </w:t>
      </w:r>
      <w:r>
        <w:t>espécie de b</w:t>
      </w:r>
      <w:r w:rsidR="00345FC6">
        <w:t>em ou serviço no período de 2017</w:t>
      </w:r>
      <w:r>
        <w:t xml:space="preserve"> a 2020;</w:t>
      </w:r>
    </w:p>
    <w:p w14:paraId="6CC9966F" w14:textId="24CA6C22" w:rsidR="00F174EE" w:rsidRDefault="00D855EC" w:rsidP="00F174EE">
      <w:pPr>
        <w:pStyle w:val="UnidaviTexto-Espao15"/>
        <w:numPr>
          <w:ilvl w:val="0"/>
          <w:numId w:val="1"/>
        </w:numPr>
      </w:pPr>
      <w:r>
        <w:t xml:space="preserve">Verificar </w:t>
      </w:r>
      <w:r w:rsidR="0087573A">
        <w:t>a quantidade</w:t>
      </w:r>
      <w:r>
        <w:t xml:space="preserve"> de </w:t>
      </w:r>
      <w:r w:rsidR="0087573A">
        <w:t xml:space="preserve">participações de </w:t>
      </w:r>
      <w:r>
        <w:t xml:space="preserve">empresas que são </w:t>
      </w:r>
      <w:r w:rsidR="0087573A">
        <w:t>do município</w:t>
      </w:r>
      <w:r w:rsidR="005267C2">
        <w:t xml:space="preserve"> de Taió, </w:t>
      </w:r>
      <w:r w:rsidR="0087573A">
        <w:t xml:space="preserve">do </w:t>
      </w:r>
      <w:r w:rsidR="005267C2">
        <w:t>Alto V</w:t>
      </w:r>
      <w:r>
        <w:t>ale</w:t>
      </w:r>
      <w:r w:rsidR="00D72657">
        <w:t xml:space="preserve"> </w:t>
      </w:r>
      <w:r w:rsidR="005267C2">
        <w:t xml:space="preserve">do Itajaí </w:t>
      </w:r>
      <w:r w:rsidR="00D72657">
        <w:t xml:space="preserve">e empresas </w:t>
      </w:r>
      <w:r w:rsidR="005267C2">
        <w:t xml:space="preserve">que são </w:t>
      </w:r>
      <w:r w:rsidR="00D72657">
        <w:t xml:space="preserve">de </w:t>
      </w:r>
      <w:r w:rsidR="004A6704">
        <w:t>fora;</w:t>
      </w:r>
    </w:p>
    <w:p w14:paraId="1CA75AD9" w14:textId="2E183088" w:rsidR="003878E8" w:rsidRDefault="009D3C62" w:rsidP="00F174EE">
      <w:pPr>
        <w:pStyle w:val="UnidaviTexto-Espao15"/>
        <w:numPr>
          <w:ilvl w:val="0"/>
          <w:numId w:val="1"/>
        </w:numPr>
      </w:pPr>
      <w:r>
        <w:t xml:space="preserve"> Determinar q</w:t>
      </w:r>
      <w:r w:rsidR="003878E8">
        <w:t xml:space="preserve">uantas dessas </w:t>
      </w:r>
      <w:r w:rsidR="0087573A">
        <w:t xml:space="preserve">participações de </w:t>
      </w:r>
      <w:r w:rsidR="003878E8">
        <w:t>em</w:t>
      </w:r>
      <w:r w:rsidR="00345FC6">
        <w:t>presas se enquadram como empresas ME/EPP</w:t>
      </w:r>
      <w:r w:rsidR="0087573A">
        <w:t>;</w:t>
      </w:r>
    </w:p>
    <w:p w14:paraId="007C9C54" w14:textId="34BF633A" w:rsidR="00D72657" w:rsidRPr="00047C8F" w:rsidRDefault="004A6704" w:rsidP="008F7EA8">
      <w:pPr>
        <w:pStyle w:val="UnidaviTexto-Espao15"/>
        <w:numPr>
          <w:ilvl w:val="0"/>
          <w:numId w:val="1"/>
        </w:numPr>
      </w:pPr>
      <w:r>
        <w:t xml:space="preserve">Indicar mudanças </w:t>
      </w:r>
      <w:r w:rsidR="0087573A">
        <w:t xml:space="preserve">as principais mudanças </w:t>
      </w:r>
      <w:r>
        <w:t xml:space="preserve">no processo licitatório </w:t>
      </w:r>
      <w:r w:rsidR="0087573A">
        <w:t xml:space="preserve">do município de Taió </w:t>
      </w:r>
      <w:r>
        <w:t xml:space="preserve">de acordo com a </w:t>
      </w:r>
      <w:r w:rsidR="00692385">
        <w:t xml:space="preserve">nova </w:t>
      </w:r>
      <w:r>
        <w:t xml:space="preserve">Lei </w:t>
      </w:r>
      <w:r w:rsidR="00692385">
        <w:t xml:space="preserve">de licitações </w:t>
      </w:r>
      <w:r w:rsidR="0037482F">
        <w:t xml:space="preserve">nº </w:t>
      </w:r>
      <w:r w:rsidR="006753E4">
        <w:t>14.133/2021.</w:t>
      </w:r>
    </w:p>
    <w:p w14:paraId="1D2EA612" w14:textId="55E7ABF7" w:rsidR="00F174EE" w:rsidRDefault="00F174EE" w:rsidP="008F7EA8">
      <w:pPr>
        <w:pStyle w:val="UNIDAVISEOSECUNDARIA"/>
        <w:spacing w:line="360" w:lineRule="auto"/>
        <w:rPr>
          <w:lang w:val="pt-BR"/>
        </w:rPr>
      </w:pPr>
    </w:p>
    <w:p w14:paraId="6CE68FE6" w14:textId="4278DCBF" w:rsidR="00F174EE" w:rsidRPr="008F7EA8" w:rsidRDefault="00F174EE" w:rsidP="008F7EA8">
      <w:pPr>
        <w:pStyle w:val="UNIDAVISEOSECUNDARIA"/>
        <w:spacing w:line="360" w:lineRule="auto"/>
        <w:rPr>
          <w:lang w:val="pt-BR"/>
        </w:rPr>
      </w:pPr>
      <w:r w:rsidRPr="008816C2">
        <w:rPr>
          <w:lang w:val="pt-BR"/>
        </w:rPr>
        <w:t>1.</w:t>
      </w:r>
      <w:r w:rsidR="00C75F42">
        <w:rPr>
          <w:lang w:val="pt-BR"/>
        </w:rPr>
        <w:t>3</w:t>
      </w:r>
      <w:r w:rsidRPr="008816C2">
        <w:rPr>
          <w:lang w:val="pt-BR"/>
        </w:rPr>
        <w:t xml:space="preserve"> Justifica</w:t>
      </w:r>
      <w:r w:rsidR="008F7EA8">
        <w:rPr>
          <w:lang w:val="pt-BR"/>
        </w:rPr>
        <w:t>tiva</w:t>
      </w:r>
    </w:p>
    <w:p w14:paraId="642B5CAB" w14:textId="77777777" w:rsidR="00F174EE" w:rsidRDefault="00F174EE" w:rsidP="008F7EA8">
      <w:pPr>
        <w:pStyle w:val="UnidaviTexto-Espao15"/>
      </w:pPr>
    </w:p>
    <w:p w14:paraId="6E8EFE89" w14:textId="47FD45D0" w:rsidR="00F174EE" w:rsidRDefault="0076058A" w:rsidP="008F7EA8">
      <w:pPr>
        <w:pStyle w:val="UnidaviTexto-Espao15"/>
      </w:pPr>
      <w:r>
        <w:t>Saber como funciona</w:t>
      </w:r>
      <w:r w:rsidR="00160C61">
        <w:t>m</w:t>
      </w:r>
      <w:r>
        <w:t xml:space="preserve"> as aquisições da administração pública do município ao qual pertencemos, são informações de interesse dos cidadãos. Apesar de ser um pouco mais complicado entender todo o processo que ocorre para adquirir um bem ou serviço, é de </w:t>
      </w:r>
      <w:r>
        <w:lastRenderedPageBreak/>
        <w:t>extrema importância que as pessoas tenham esse conhecimento para poder acompanhar as decisões tomadas pelos gestores do município.</w:t>
      </w:r>
    </w:p>
    <w:p w14:paraId="377F9ED6" w14:textId="55EF1249" w:rsidR="00411BBF" w:rsidRDefault="0076058A" w:rsidP="00411BBF">
      <w:pPr>
        <w:pStyle w:val="UnidaviTexto-Espao15"/>
      </w:pPr>
      <w:r>
        <w:t xml:space="preserve">Por isso, </w:t>
      </w:r>
      <w:r w:rsidR="00160C61">
        <w:t>apresent</w:t>
      </w:r>
      <w:r>
        <w:t xml:space="preserve">a-se </w:t>
      </w:r>
      <w:r w:rsidR="00AE357A">
        <w:t xml:space="preserve">o seguinte trabalho, pelo fato de possuir contribuição para a área acadêmica, </w:t>
      </w:r>
      <w:r w:rsidR="00DF47F4">
        <w:t xml:space="preserve">uma vez que outros acadêmicos do curso de ciências contábeis poderão despertar interesse de pesquisa na área pública e </w:t>
      </w:r>
      <w:r w:rsidR="00AE357A">
        <w:t>visto que n</w:t>
      </w:r>
      <w:r w:rsidR="00160C61">
        <w:t>ã</w:t>
      </w:r>
      <w:r w:rsidR="00AE357A">
        <w:t>o</w:t>
      </w:r>
      <w:r w:rsidR="00741086">
        <w:t xml:space="preserve"> se</w:t>
      </w:r>
      <w:r w:rsidR="00AE357A">
        <w:t xml:space="preserve"> </w:t>
      </w:r>
      <w:r w:rsidR="00741086">
        <w:t>tem</w:t>
      </w:r>
      <w:r w:rsidR="00160C61">
        <w:t xml:space="preserve"> encontrado no </w:t>
      </w:r>
      <w:r w:rsidR="00AE357A">
        <w:t>município de Taió um trabalho acad</w:t>
      </w:r>
      <w:r w:rsidR="00160C61">
        <w:t>êmico semelhante</w:t>
      </w:r>
      <w:r w:rsidR="00AE357A">
        <w:t xml:space="preserve"> realizado nessa linha de pesquisa, e que a partir </w:t>
      </w:r>
      <w:r w:rsidR="00EB579E">
        <w:t>deste</w:t>
      </w:r>
      <w:r w:rsidR="00AE357A">
        <w:t>, outros trabalhos poderão surgir</w:t>
      </w:r>
      <w:r w:rsidR="00793296">
        <w:t xml:space="preserve"> inclusive em outros municípios</w:t>
      </w:r>
      <w:r w:rsidR="00AE357A">
        <w:t>. Nesse sentido, a pesquisa contribuirá para com a sociedade, pois demostrará detalhadamente como funciona um processo licitat</w:t>
      </w:r>
      <w:r w:rsidR="00411BBF">
        <w:t>ório</w:t>
      </w:r>
      <w:r w:rsidR="00160C61">
        <w:t xml:space="preserve"> da cidade de Taió</w:t>
      </w:r>
      <w:r w:rsidR="00411BBF">
        <w:t>, e quais as regras que uma prefeitura precisa cumprir para a aquisição de bens e serviços.</w:t>
      </w:r>
    </w:p>
    <w:p w14:paraId="13BA4092" w14:textId="375BCEBE" w:rsidR="00411BBF" w:rsidRPr="00294DCD" w:rsidRDefault="00411BBF" w:rsidP="008F7EA8">
      <w:pPr>
        <w:pStyle w:val="UnidaviTexto-Espao15"/>
      </w:pPr>
      <w:r>
        <w:t>E por fim, justif</w:t>
      </w:r>
      <w:r w:rsidR="00793296">
        <w:t xml:space="preserve">ica-se que a presente pesquisa </w:t>
      </w:r>
      <w:r w:rsidR="00642091">
        <w:t xml:space="preserve">poderá </w:t>
      </w:r>
      <w:r w:rsidR="00793296">
        <w:t xml:space="preserve">despertar um olhar diferente dos contadores públicos e auxiliar na tomada de decisão, em relação às melhores escolhas para o município, além de </w:t>
      </w:r>
      <w:r w:rsidR="00741086">
        <w:t xml:space="preserve">contribuir com a situação econômica, por apresentar especificamente, através do estudo das modalidades de licitação, quais os valores </w:t>
      </w:r>
      <w:r w:rsidR="00692385">
        <w:t>investidos pelo município</w:t>
      </w:r>
      <w:r w:rsidR="00345FC6">
        <w:t>, no período de 2017</w:t>
      </w:r>
      <w:r w:rsidR="00741086">
        <w:t xml:space="preserve"> a 2020 e ainda, </w:t>
      </w:r>
      <w:r w:rsidR="00642091">
        <w:t>despertar o interesse de mais empre</w:t>
      </w:r>
      <w:r w:rsidR="00741086">
        <w:t>sas da cidade</w:t>
      </w:r>
      <w:r w:rsidR="00692385">
        <w:t xml:space="preserve"> e da região</w:t>
      </w:r>
      <w:r w:rsidR="00741086">
        <w:t>,</w:t>
      </w:r>
      <w:r w:rsidR="00642091">
        <w:t xml:space="preserve"> a participarem das licitações, pelo fato de explicar com</w:t>
      </w:r>
      <w:r w:rsidR="00741086">
        <w:t>o funciona um processo licitatório, e futuramente gerar um maior retorno ao município</w:t>
      </w:r>
      <w:r w:rsidR="00D8019D">
        <w:t>, já com base na nova lei de licitações nº 14.133/2021.</w:t>
      </w:r>
    </w:p>
    <w:p w14:paraId="4E8F654F" w14:textId="77777777" w:rsidR="00C75F42" w:rsidRDefault="00C75F42" w:rsidP="008F7EA8">
      <w:pPr>
        <w:pStyle w:val="UNIDAVISEOSECUNDARIA"/>
        <w:spacing w:line="360" w:lineRule="auto"/>
        <w:rPr>
          <w:rFonts w:eastAsia="Times New Roman" w:cstheme="minorBidi"/>
          <w:caps w:val="0"/>
          <w:lang w:val="pt-BR" w:eastAsia="pt-BR"/>
        </w:rPr>
      </w:pPr>
    </w:p>
    <w:p w14:paraId="4DAED0A6" w14:textId="29919546" w:rsidR="00B002B8" w:rsidRDefault="00DF7B2C" w:rsidP="00B002B8">
      <w:pPr>
        <w:pStyle w:val="UNIDAVISEOSECUNDARIA"/>
        <w:spacing w:line="360" w:lineRule="auto"/>
      </w:pPr>
      <w:r>
        <w:t>1.4 CONTEXTUALIZAÇÃO Do município</w:t>
      </w:r>
    </w:p>
    <w:p w14:paraId="09B4A710" w14:textId="77777777" w:rsidR="00157585" w:rsidRDefault="00157585" w:rsidP="00B002B8">
      <w:pPr>
        <w:pStyle w:val="UNIDAVISEOSECUNDARIA"/>
        <w:spacing w:line="360" w:lineRule="auto"/>
      </w:pPr>
    </w:p>
    <w:p w14:paraId="5E1541CD" w14:textId="559DF854" w:rsidR="00B002B8" w:rsidRDefault="00B002B8" w:rsidP="00B002B8">
      <w:pPr>
        <w:pStyle w:val="UnidaviTexto-Espao15"/>
      </w:pPr>
      <w:r>
        <w:t xml:space="preserve">Origem do nome </w:t>
      </w:r>
      <w:r w:rsidRPr="00B002B8">
        <w:t>Tayó, que mudou para Taió com a nova ortografia, tem sua origem em línguas indígenas de povos que habitaram a reg</w:t>
      </w:r>
      <w:r w:rsidR="00EE2A19">
        <w:t>ião a milhares de anos passados.</w:t>
      </w:r>
      <w:r w:rsidRPr="00B002B8">
        <w:t xml:space="preserve"> Entre as versões correntes é que Taió na líng</w:t>
      </w:r>
      <w:r w:rsidR="00EE2A19">
        <w:t xml:space="preserve">ua tupi significa “Pedra Grande” </w:t>
      </w:r>
      <w:r w:rsidRPr="00B002B8">
        <w:t xml:space="preserve">ou </w:t>
      </w:r>
      <w:r w:rsidR="00EE2A19">
        <w:t>“Morro Grande”</w:t>
      </w:r>
      <w:r w:rsidRPr="00B002B8">
        <w:t xml:space="preserve">, talvez em alusão ao Morro Funil, que foi confundido pelos primeiros exploradores, que acreditavam ser este o Morro do Tayó, cuja </w:t>
      </w:r>
      <w:r w:rsidR="004574A6">
        <w:t>localização está em Mirim Doce ou ainda uma planta chamada “Taiá”.</w:t>
      </w:r>
    </w:p>
    <w:p w14:paraId="61272F15" w14:textId="1628CC78" w:rsidR="00B002B8" w:rsidRDefault="00B002B8" w:rsidP="00B002B8">
      <w:pPr>
        <w:pStyle w:val="UnidaviTexto-Espao15"/>
      </w:pPr>
      <w:r>
        <w:t xml:space="preserve">Dados sobre a Colonização </w:t>
      </w:r>
      <w:r w:rsidRPr="00B002B8">
        <w:t xml:space="preserve">Emil Odebrecht, que atuou na abertura de estradas e demarcação de lotes no Vale do Itajaí, possibilitou o desenvolvimento de diversas cidades e a comunicação entre o vale e o planalto catarinense, juntamente com comitiva partiram de Blumenau em sua segunda expedição pela mata virgem do Alto Vale do Itajaí alcançando Taió por volta de 1864. Em 1867 em outra expedição, que se acredita ter </w:t>
      </w:r>
      <w:r w:rsidR="00EE2A19">
        <w:t>sido realizada n</w:t>
      </w:r>
      <w:r w:rsidRPr="00B002B8">
        <w:t xml:space="preserve">o Planalto em sentido ao Vale, de Lages alcança o Rio Taió, e seguindo por esse chegaram no </w:t>
      </w:r>
      <w:r w:rsidRPr="00B002B8">
        <w:lastRenderedPageBreak/>
        <w:t xml:space="preserve">encontro do Rio Itajaí do Oeste, neste local, no centro de Taió, existe uma praça em nosso município. </w:t>
      </w:r>
    </w:p>
    <w:p w14:paraId="05AFB455" w14:textId="1623929B" w:rsidR="00F174EE" w:rsidRDefault="00B002B8" w:rsidP="00157585">
      <w:pPr>
        <w:pStyle w:val="UnidaviTexto-Espao15"/>
      </w:pPr>
      <w:r w:rsidRPr="00B002B8">
        <w:t xml:space="preserve">Em 1892 famílias dos campos de Lages mudaram-se para essas terras, a família Rauen nesse ano obteve terras em Taió, por meio de requerimento ao juiz comissário de terras em Curitibanos, sendo essa entre outras famílias do planalto </w:t>
      </w:r>
      <w:r w:rsidR="00EE2A19">
        <w:t xml:space="preserve">foram </w:t>
      </w:r>
      <w:r w:rsidRPr="00B002B8">
        <w:t>os primeiros colonizadores de Taió. No entanto, a colonização de Taió se intensifica pelo trabalho de empresas colonizadoras como Sindicato Blumenauense e a Companhia Salinger que permitiu a partir de 1917 ocupação das terras onde hoje está o perímetro urbano da cidade entre outras áreas, com a chegada de descentes alemães. O Italianos vem em seguida, a partir dos anos de 1920 onde se iniciam os trabalhos da Colonizadora Bertoli, a terceira empresa colonizadora, sendo a mais importante no processo, pois executou a colonização além de Taió, também de Rio do Campo, Salete e Mirim Doce, que na época eram pertencentes a Taió.</w:t>
      </w:r>
      <w:r w:rsidR="00157585">
        <w:t xml:space="preserve"> Fundação do município e</w:t>
      </w:r>
      <w:r w:rsidRPr="00B002B8">
        <w:t>m 7 de setembro de 1929, Taió passou a Distrito de Blumenau, visto que Rio do Sul ainda não havia sido emancipado. Em 30 de dezembro de 19</w:t>
      </w:r>
      <w:r w:rsidR="00EE2A19">
        <w:t>48 pela lei nº</w:t>
      </w:r>
      <w:r w:rsidR="00157585">
        <w:t xml:space="preserve"> 247 foi elevado à</w:t>
      </w:r>
      <w:r w:rsidRPr="00B002B8">
        <w:t xml:space="preserve"> categoria de município desmembrando-se de Rio do Sul, mas a instalação ocorreu em 12 de fevereiro de 1949, tendo como o primeiro prefeito, nomeado, o Sr. Bertoldo Jacobsen. Sendo assim, 12 de fevereiro de 1949 passando a ser considerado o Dia do Município.</w:t>
      </w:r>
    </w:p>
    <w:p w14:paraId="245CAB5D" w14:textId="2D579AC1" w:rsidR="00C737FD" w:rsidRPr="004574A6" w:rsidRDefault="00C737FD" w:rsidP="004574A6">
      <w:pPr>
        <w:pStyle w:val="UnidaviTexto-Espao15"/>
      </w:pPr>
      <w:r>
        <w:t>S</w:t>
      </w:r>
      <w:r w:rsidR="00EE2A19">
        <w:t xml:space="preserve">egundo o IBGE – Instituto Brasileiro de Geografia e estatística, </w:t>
      </w:r>
      <w:r>
        <w:t>a realidade do município pode ser observada em um período mais atual. A população estimada de Taió em 2021 é de 18.576 pessoas. No último censo realizado em 2010 contatou-se que o município possuía 17.260 habitant</w:t>
      </w:r>
      <w:r w:rsidR="004574A6">
        <w:t>es. E</w:t>
      </w:r>
      <w:r>
        <w:t>m 2019 o salário mensal era de 2,2 salários mínimos e a proporção de ocupadas em relação à população total era de 36,2 %.</w:t>
      </w:r>
      <w:r w:rsidR="004574A6">
        <w:t xml:space="preserve"> </w:t>
      </w:r>
      <w:r w:rsidRPr="00DF7B2C">
        <w:rPr>
          <w:rFonts w:cs="Times New Roman"/>
        </w:rPr>
        <w:t xml:space="preserve">Se tratando de educação, os dados do IBGE levantados em 2010 mostraram que a taxa de escolarização foi de 97,4% entre jovens de 6 a 14 anos de idade. </w:t>
      </w:r>
      <w:r w:rsidR="00DF7B2C" w:rsidRPr="00DF7B2C">
        <w:rPr>
          <w:rFonts w:cs="Times New Roman"/>
        </w:rPr>
        <w:t xml:space="preserve">Segundo </w:t>
      </w:r>
      <w:r w:rsidR="00186AA7">
        <w:rPr>
          <w:rFonts w:cs="Times New Roman"/>
        </w:rPr>
        <w:t>o site Atlas Brasil</w:t>
      </w:r>
      <w:r w:rsidR="00DF7B2C" w:rsidRPr="00DF7B2C">
        <w:rPr>
          <w:rFonts w:cs="Times New Roman"/>
        </w:rPr>
        <w:t xml:space="preserve">, os dados levantados em 2010 mostraram mais especificamente que </w:t>
      </w:r>
      <w:r w:rsidR="00DF7B2C" w:rsidRPr="00DF7B2C">
        <w:rPr>
          <w:rFonts w:cs="Times New Roman"/>
          <w:color w:val="000000"/>
          <w:spacing w:val="3"/>
          <w:shd w:val="clear" w:color="auto" w:fill="FFFFFF"/>
        </w:rPr>
        <w:t>no município, a proporção de crianças de 5 a 6 anos na escola era de 92,18%. No mesmo ano, a proporção de crianças de 11 a 13 anos, frequentando os anos finais do ensino fundamental, era de 93,53%. A proporção de jovens de 15 a 17 anos com ensino fundamental completo era de 75,17%; e a proporção de jovens de 18 a 20 anos com ensino médio completo era de 52,00%.</w:t>
      </w:r>
      <w:r w:rsidR="00DF7B2C">
        <w:rPr>
          <w:rFonts w:cs="Times New Roman"/>
          <w:color w:val="000000"/>
          <w:spacing w:val="3"/>
          <w:shd w:val="clear" w:color="auto" w:fill="FFFFFF"/>
        </w:rPr>
        <w:t xml:space="preserve"> </w:t>
      </w:r>
      <w:r w:rsidR="00DF7B2C">
        <w:rPr>
          <w:rFonts w:ascii="Catamaran" w:hAnsi="Catamaran"/>
          <w:color w:val="000000"/>
          <w:spacing w:val="3"/>
          <w:shd w:val="clear" w:color="auto" w:fill="FFFFFF"/>
        </w:rPr>
        <w:t>Em 2010, considerando-se a população de 25 anos ou mais de idade no município Taió, 5,58% eram analfabetos, 41,55% tinham o ensino fundamental completo, 26,72% possuíam o ensino médio completo e 8,59%, o superior completo. </w:t>
      </w:r>
    </w:p>
    <w:p w14:paraId="54E60590" w14:textId="5E3A14CE" w:rsidR="00DF7B2C" w:rsidRPr="00DF7B2C" w:rsidRDefault="00DF7B2C" w:rsidP="00157585">
      <w:pPr>
        <w:pStyle w:val="UnidaviTexto-Espao15"/>
        <w:rPr>
          <w:rFonts w:cs="Times New Roman"/>
        </w:rPr>
      </w:pPr>
      <w:r>
        <w:rPr>
          <w:rFonts w:ascii="Catamaran" w:hAnsi="Catamaran"/>
          <w:color w:val="000000"/>
          <w:spacing w:val="3"/>
          <w:shd w:val="clear" w:color="auto" w:fill="FFFFFF"/>
        </w:rPr>
        <w:lastRenderedPageBreak/>
        <w:t>Em relação à economia segundo o IBGE em 2018 o PIB – Produto Interno Bruto per capita do município foi de R$ 32.781,05</w:t>
      </w:r>
      <w:r w:rsidR="00DD3C99">
        <w:rPr>
          <w:rFonts w:ascii="Catamaran" w:hAnsi="Catamaran"/>
          <w:color w:val="000000"/>
          <w:spacing w:val="3"/>
          <w:shd w:val="clear" w:color="auto" w:fill="FFFFFF"/>
        </w:rPr>
        <w:t xml:space="preserve">. </w:t>
      </w:r>
      <w:r w:rsidR="00171084">
        <w:rPr>
          <w:rFonts w:ascii="Catamaran" w:hAnsi="Catamaran"/>
          <w:color w:val="000000"/>
          <w:spacing w:val="3"/>
          <w:shd w:val="clear" w:color="auto" w:fill="FFFFFF"/>
        </w:rPr>
        <w:t>Evidencia ainda que as principais atividades desenvolvidas no município s</w:t>
      </w:r>
      <w:r w:rsidR="00817910">
        <w:rPr>
          <w:rFonts w:ascii="Catamaran" w:hAnsi="Catamaran"/>
          <w:color w:val="000000"/>
          <w:spacing w:val="3"/>
          <w:shd w:val="clear" w:color="auto" w:fill="FFFFFF"/>
        </w:rPr>
        <w:t xml:space="preserve">ão a </w:t>
      </w:r>
      <w:r w:rsidR="00171084">
        <w:rPr>
          <w:rFonts w:ascii="Catamaran" w:hAnsi="Catamaran"/>
          <w:color w:val="000000"/>
          <w:spacing w:val="3"/>
          <w:shd w:val="clear" w:color="auto" w:fill="FFFFFF"/>
        </w:rPr>
        <w:t>agropecuária, indústria</w:t>
      </w:r>
      <w:r w:rsidR="00817910">
        <w:rPr>
          <w:rFonts w:ascii="Catamaran" w:hAnsi="Catamaran"/>
          <w:color w:val="000000"/>
          <w:spacing w:val="3"/>
          <w:shd w:val="clear" w:color="auto" w:fill="FFFFFF"/>
        </w:rPr>
        <w:t xml:space="preserve">s e comércio em geral. </w:t>
      </w:r>
      <w:r>
        <w:rPr>
          <w:rFonts w:ascii="Catamaran" w:hAnsi="Catamaran"/>
          <w:color w:val="000000"/>
          <w:spacing w:val="3"/>
          <w:shd w:val="clear" w:color="auto" w:fill="FFFFFF"/>
        </w:rPr>
        <w:t>A áre</w:t>
      </w:r>
      <w:r w:rsidR="00171084">
        <w:rPr>
          <w:rFonts w:ascii="Catamaran" w:hAnsi="Catamaran"/>
          <w:color w:val="000000"/>
          <w:spacing w:val="3"/>
          <w:shd w:val="clear" w:color="auto" w:fill="FFFFFF"/>
        </w:rPr>
        <w:t>a</w:t>
      </w:r>
      <w:r>
        <w:rPr>
          <w:rFonts w:ascii="Catamaran" w:hAnsi="Catamaran"/>
          <w:color w:val="000000"/>
          <w:spacing w:val="3"/>
          <w:shd w:val="clear" w:color="auto" w:fill="FFFFFF"/>
        </w:rPr>
        <w:t xml:space="preserve"> total do município levantada em 2020 é de 693.847 m</w:t>
      </w:r>
      <w:r w:rsidR="00171084">
        <w:rPr>
          <w:rFonts w:cs="Times New Roman"/>
        </w:rPr>
        <w:t xml:space="preserve">² ocupando a 77º posição no estado de Santa Catarina. </w:t>
      </w:r>
      <w:r w:rsidR="00DD3C99">
        <w:rPr>
          <w:rFonts w:cs="Times New Roman"/>
        </w:rPr>
        <w:t>Taió é considerada por seus moradores, um lugar aconchegante para viver, o povo é hospitaleiro e possui lugares deslumbrantes que podem ser observados no Anexo I.</w:t>
      </w:r>
    </w:p>
    <w:p w14:paraId="1629ACE9" w14:textId="4DF7F871" w:rsidR="006E5D9B" w:rsidRDefault="00F174EE" w:rsidP="00157585">
      <w:pPr>
        <w:pStyle w:val="UNIDAVISEOPRIMRIA"/>
      </w:pPr>
      <w:r w:rsidRPr="00DF7B2C">
        <w:br w:type="page"/>
      </w:r>
      <w:r w:rsidRPr="0067444A">
        <w:lastRenderedPageBreak/>
        <w:t xml:space="preserve">2. </w:t>
      </w:r>
      <w:r w:rsidR="00BF76E5">
        <w:t>referencial teórico</w:t>
      </w:r>
    </w:p>
    <w:p w14:paraId="4754A8C1" w14:textId="170B83E1" w:rsidR="006E5D9B" w:rsidRDefault="006E5D9B" w:rsidP="002E5ADF">
      <w:pPr>
        <w:pStyle w:val="UnidaviTexto-Espao15"/>
      </w:pPr>
    </w:p>
    <w:p w14:paraId="2FCF1519" w14:textId="41A09D88" w:rsidR="002E5ADF" w:rsidRDefault="002E5ADF" w:rsidP="00B976CC">
      <w:pPr>
        <w:pStyle w:val="UnidaviTexto-Espao15"/>
      </w:pPr>
      <w:r>
        <w:t xml:space="preserve">Nesta seção apresenta-se a revisão de literatura, que sustenta a presente pesquisa e está assim estruturada: a) Licitações Públicas; b) Objeto da Licitação; c) Obrigatoriedade de Licitar; d) Princípios Norteadores da Licitação; e) Modalidades de Licitação; f) </w:t>
      </w:r>
      <w:r w:rsidR="00B976CC">
        <w:t xml:space="preserve">Tipos de Licitação; g) Inexigibilidade e Dispensa de Licitação; h) Nova Lei de </w:t>
      </w:r>
      <w:r w:rsidR="0037482F">
        <w:t xml:space="preserve">nº </w:t>
      </w:r>
      <w:r w:rsidR="00B976CC">
        <w:t>Licitações nº 14.133/2021 – principais mudanças.</w:t>
      </w:r>
    </w:p>
    <w:p w14:paraId="56250959" w14:textId="77777777" w:rsidR="00B976CC" w:rsidRDefault="00B976CC" w:rsidP="00EB579E">
      <w:pPr>
        <w:pStyle w:val="UnidaviTexto-Espao15"/>
        <w:ind w:firstLine="0"/>
      </w:pPr>
    </w:p>
    <w:p w14:paraId="3B6F5A93" w14:textId="21C89964" w:rsidR="006E5D9B" w:rsidRPr="00E1257D" w:rsidRDefault="008B7363" w:rsidP="008F7EA8">
      <w:pPr>
        <w:pStyle w:val="UNIDAVISEOSECUNDARIA"/>
        <w:spacing w:line="360" w:lineRule="auto"/>
      </w:pPr>
      <w:r>
        <w:t xml:space="preserve">2.1 </w:t>
      </w:r>
      <w:r w:rsidR="006E5D9B" w:rsidRPr="00E1257D">
        <w:t>Licitaç</w:t>
      </w:r>
      <w:r w:rsidR="00BF76E5">
        <w:t>ões Públicas</w:t>
      </w:r>
    </w:p>
    <w:p w14:paraId="544B77BC" w14:textId="7A4E62AB" w:rsidR="006E5D9B" w:rsidRDefault="006E5D9B" w:rsidP="008F7EA8">
      <w:pPr>
        <w:pStyle w:val="UnidaviTexto-Espao15"/>
        <w:ind w:firstLine="0"/>
      </w:pPr>
    </w:p>
    <w:p w14:paraId="49BF3CD2" w14:textId="311C734E" w:rsidR="006E5D9B" w:rsidRDefault="006E5D9B" w:rsidP="008F7EA8">
      <w:pPr>
        <w:pStyle w:val="UnidaviTexto-Espao15"/>
        <w:ind w:firstLine="708"/>
      </w:pPr>
      <w:r>
        <w:t xml:space="preserve">De acordo com Blanchet (2007, p. 99), </w:t>
      </w:r>
      <w:r w:rsidR="00E1257D">
        <w:t>“Licitação é o procedimento administrativo pelo qual a Administração Pública seleciona proponentes com habilitação mínima para serem contratados, e dentre as propostas apresentadas por estes, seleciona a mais vantajosa.”.</w:t>
      </w:r>
    </w:p>
    <w:p w14:paraId="47A36161" w14:textId="77777777" w:rsidR="008B7363" w:rsidRDefault="008B7363" w:rsidP="008F7EA8">
      <w:pPr>
        <w:pStyle w:val="UnidaviTexto-Espao15"/>
        <w:ind w:firstLine="708"/>
      </w:pPr>
    </w:p>
    <w:p w14:paraId="754DEFE8" w14:textId="7930A522" w:rsidR="00E1257D" w:rsidRDefault="00E1257D" w:rsidP="006E5406">
      <w:pPr>
        <w:pStyle w:val="UnidaviCitaoLonga"/>
      </w:pPr>
      <w:r>
        <w:t>Pode-se definir a licitação, como o procedimento administrativo pelo qual um ente público, no exercício da função administrativa, abre a todos os interessados, que se sujeitem ás condições fixadas no instrumento convocatório, a possibilidade de formularem propostas dentre as quais selecionará e aceitará a mais conveniente para a ce</w:t>
      </w:r>
      <w:r w:rsidR="003F488A">
        <w:t>lebração do contrato. (DI PIETRO</w:t>
      </w:r>
      <w:r>
        <w:t>, 2008 p. 331).</w:t>
      </w:r>
    </w:p>
    <w:p w14:paraId="0BDFCCD7" w14:textId="786BE0F6" w:rsidR="008B7363" w:rsidRDefault="008B7363" w:rsidP="006E5406">
      <w:pPr>
        <w:pStyle w:val="UnidaviCitaoLonga"/>
        <w:spacing w:line="360" w:lineRule="auto"/>
        <w:ind w:left="0"/>
      </w:pPr>
    </w:p>
    <w:p w14:paraId="1F065CD6" w14:textId="025FFB7F" w:rsidR="006E5D9B" w:rsidRDefault="00CB3EF6" w:rsidP="008F7EA8">
      <w:pPr>
        <w:pStyle w:val="UnidaviTexto-Espao15"/>
        <w:ind w:firstLine="708"/>
      </w:pPr>
      <w:r>
        <w:t>Conforme</w:t>
      </w:r>
      <w:r w:rsidR="00BF76E5">
        <w:t xml:space="preserve"> Piscitelli (2012), a</w:t>
      </w:r>
      <w:r w:rsidR="005E5EA6">
        <w:t xml:space="preserve"> licitação é uma s</w:t>
      </w:r>
      <w:r w:rsidR="00BF76E5">
        <w:t xml:space="preserve">érie de processos </w:t>
      </w:r>
      <w:r w:rsidR="005E5EA6">
        <w:t xml:space="preserve">administrativos, reconhecidos por lei, onde a Administração Pública verifica entre os participantes capacitados, qual deles tem a oferecer as melhores propostas e condições para a realização de obras, serviços, inclusive de publicidade, compras, alienações, permissões e locações. Esses </w:t>
      </w:r>
      <w:r w:rsidR="008B7363">
        <w:t>acontecimentos, tamb</w:t>
      </w:r>
      <w:r w:rsidR="005E5EA6">
        <w:t>ém chamados de fases,</w:t>
      </w:r>
      <w:r w:rsidR="00F742F9">
        <w:t xml:space="preserve"> que garantem ao processo clareza e igualdade aos licitantes, e ainda ter a eficácia necessária para o interesse público, diante disso:</w:t>
      </w:r>
    </w:p>
    <w:p w14:paraId="545D2362" w14:textId="7BA16ABD" w:rsidR="00F742F9" w:rsidRDefault="00F742F9" w:rsidP="008F7EA8">
      <w:pPr>
        <w:pStyle w:val="UnidaviTexto-Espao15"/>
      </w:pPr>
    </w:p>
    <w:p w14:paraId="7A88C8A5" w14:textId="097D8D12" w:rsidR="00F742F9" w:rsidRPr="008B7363" w:rsidRDefault="00F742F9" w:rsidP="006E5406">
      <w:pPr>
        <w:pStyle w:val="UnidaviCitaoLonga"/>
      </w:pPr>
      <w:r>
        <w:t>A licitação destina-se a garantir a observância do princípio constitucional da isonomia, a seleção da proposta mais vantajosa para a Administração e a promoção de desenvolvimento nacional e sustentável e será processada e julgada em estrita conformidade com os princípios básicos da legalidade, da impessoalidade, da moralidade, da igualdade, da publicidade, da probidade administrativa, da vinculação ao instrumento convocatório, do julgamento objetivo e d</w:t>
      </w:r>
      <w:r w:rsidR="001F28C8">
        <w:t>os que lhes são correlatos. (LEI</w:t>
      </w:r>
      <w:r>
        <w:t xml:space="preserve"> </w:t>
      </w:r>
      <w:r w:rsidR="0037482F">
        <w:t xml:space="preserve">nº </w:t>
      </w:r>
      <w:r>
        <w:t>8.666/93, art. 3º).</w:t>
      </w:r>
    </w:p>
    <w:p w14:paraId="660D7DF4" w14:textId="55C3A7B2" w:rsidR="006E5D9B" w:rsidRPr="008B7363" w:rsidRDefault="006E5D9B" w:rsidP="008F7EA8">
      <w:pPr>
        <w:pStyle w:val="UnidaviTexto-Espao15"/>
      </w:pPr>
    </w:p>
    <w:p w14:paraId="1EBC67ED" w14:textId="6B978D0C" w:rsidR="00BF76E5" w:rsidRDefault="00F742F9" w:rsidP="008F7EA8">
      <w:pPr>
        <w:pStyle w:val="UnidaviTexto-Espao15"/>
      </w:pPr>
      <w:r>
        <w:t xml:space="preserve">O processo de licitação </w:t>
      </w:r>
      <w:r w:rsidR="00853EF2">
        <w:t xml:space="preserve">deve afastar qualquer suspeita de favorecimento e garantir que o dinheiro público seja utilizado com cautela e eficiência. A licitação é a forma mais clara de se atender aos princípios das atividades da Administração Pública. Conforme a Lei </w:t>
      </w:r>
      <w:r w:rsidR="0037482F">
        <w:lastRenderedPageBreak/>
        <w:t xml:space="preserve">nº </w:t>
      </w:r>
      <w:r w:rsidR="00853EF2">
        <w:t>8.666/93 art</w:t>
      </w:r>
      <w:r w:rsidR="001F28C8">
        <w:t>.</w:t>
      </w:r>
      <w:r w:rsidR="00853EF2">
        <w:t xml:space="preserve"> 5º, § 3º “A licitação não será sigilosa, sendo públicos e acessíveis ao público os atos de seu procedimento, salvo ao conteúdo </w:t>
      </w:r>
      <w:r w:rsidR="005E5EA6">
        <w:t>das propostas, até a respectiva abertura.”.</w:t>
      </w:r>
    </w:p>
    <w:p w14:paraId="300AE9B1" w14:textId="58B936AD" w:rsidR="007141B9" w:rsidRDefault="00E527E0" w:rsidP="008F7EA8">
      <w:pPr>
        <w:pStyle w:val="UnidaviTexto-Espao15"/>
      </w:pPr>
      <w:r>
        <w:t xml:space="preserve">O processo licitatório ocorre através de fases. Segundo Almeida (2021), não existe um artigo descrevendo na lei essas fases. Apenas dá-se a entender que a licitação é composta pela fase interna que acontece até a divulgação do instrumento convocatório e pela fase externa, que acontece partir da divulgação do instrumento convocatório, sendo essa composta pelas etapas de: divulgação do instrumento convocatório, habilitação, julgamento, homologação e adjudicação. Nos casos onde </w:t>
      </w:r>
      <w:r w:rsidR="00F92383">
        <w:t xml:space="preserve">ocorrer impugnações, recursos ou anulações poderão ser realizadas fases recursais após a habilitação e após o julgamento. </w:t>
      </w:r>
    </w:p>
    <w:p w14:paraId="45ADE265" w14:textId="77777777" w:rsidR="008F7EA8" w:rsidRDefault="008F7EA8" w:rsidP="008F7EA8">
      <w:pPr>
        <w:pStyle w:val="UnidaviTexto-Espao15"/>
      </w:pPr>
    </w:p>
    <w:p w14:paraId="1DD6DCF7" w14:textId="4E61A888" w:rsidR="00BF76E5" w:rsidRDefault="00BF76E5" w:rsidP="008F7EA8">
      <w:pPr>
        <w:pStyle w:val="UNIDAVISEOSECUNDARIA"/>
        <w:spacing w:line="360" w:lineRule="auto"/>
      </w:pPr>
      <w:r>
        <w:t>2.2 Objeto</w:t>
      </w:r>
      <w:r w:rsidR="002E5ADF">
        <w:t xml:space="preserve"> da licitação </w:t>
      </w:r>
    </w:p>
    <w:p w14:paraId="7520888A" w14:textId="2E2F8DA5" w:rsidR="005E5EA6" w:rsidRDefault="005E5EA6" w:rsidP="008F7EA8">
      <w:pPr>
        <w:pStyle w:val="UnidaviTexto-Espao15"/>
      </w:pPr>
    </w:p>
    <w:p w14:paraId="7159BFD1" w14:textId="6D32DCE2" w:rsidR="00BF76E5" w:rsidRDefault="00BF76E5" w:rsidP="00F742F9">
      <w:pPr>
        <w:pStyle w:val="UnidaviTexto-Espao15"/>
      </w:pPr>
      <w:r>
        <w:t xml:space="preserve">O objeto de uma licitação, diz respeito ao que a administração deseja contratar. Conforme a </w:t>
      </w:r>
      <w:r w:rsidR="0037482F">
        <w:t xml:space="preserve">nº </w:t>
      </w:r>
      <w:r>
        <w:t xml:space="preserve">Lei 8.666/93 </w:t>
      </w:r>
      <w:r w:rsidR="00A44DEC">
        <w:t>Art 2º</w:t>
      </w:r>
      <w:r>
        <w:t xml:space="preserve">, </w:t>
      </w:r>
      <w:r w:rsidR="00A44DEC">
        <w:t>são</w:t>
      </w:r>
      <w:r>
        <w:t xml:space="preserve"> objetos de licitação </w:t>
      </w:r>
      <w:r w:rsidR="008935A1">
        <w:t>“As</w:t>
      </w:r>
      <w:r w:rsidRPr="008935A1">
        <w:t xml:space="preserve"> </w:t>
      </w:r>
      <w:r w:rsidR="00A44DEC" w:rsidRPr="008935A1">
        <w:t xml:space="preserve">obras, </w:t>
      </w:r>
      <w:r w:rsidRPr="008935A1">
        <w:t>serviços</w:t>
      </w:r>
      <w:r w:rsidR="00A44DEC" w:rsidRPr="008935A1">
        <w:t xml:space="preserve"> inclusive de publicidade</w:t>
      </w:r>
      <w:r w:rsidRPr="008935A1">
        <w:t>, compras, alienações, concessões, permissões e locações</w:t>
      </w:r>
      <w:r w:rsidR="008935A1">
        <w:t xml:space="preserve"> da Administração Pública, quando contratados com terceiros, serão necessariament</w:t>
      </w:r>
      <w:r w:rsidR="00157585">
        <w:t>e precedidas de licitação</w:t>
      </w:r>
      <w:r w:rsidR="008935A1">
        <w:t>.”.</w:t>
      </w:r>
    </w:p>
    <w:p w14:paraId="6CEE55A8" w14:textId="77C81F03" w:rsidR="00EB01AD" w:rsidRDefault="00EB01AD" w:rsidP="008F7EA8">
      <w:pPr>
        <w:pStyle w:val="UnidaviTexto-Espao15"/>
      </w:pPr>
      <w:r>
        <w:t>No Brasil, o processo licitatório tem por objetivo:</w:t>
      </w:r>
    </w:p>
    <w:p w14:paraId="535AA67B" w14:textId="77777777" w:rsidR="00D14414" w:rsidRDefault="00D14414" w:rsidP="008F7EA8">
      <w:pPr>
        <w:pStyle w:val="UnidaviTexto-Espao15"/>
      </w:pPr>
    </w:p>
    <w:p w14:paraId="75D5F934" w14:textId="4BBDAF01" w:rsidR="00EB01AD" w:rsidRDefault="00EB01AD" w:rsidP="006E5406">
      <w:pPr>
        <w:pStyle w:val="UnidaviCitaoLonga"/>
      </w:pPr>
      <w:r>
        <w:t>a) a observância do princípio constitucional da isonomia, que assegura aos interessados a oportunidade de contratar com o estado tendo por base, as regras previamente estipuladas e aplicáveis, da forma indistinta, a todos os eventuais interessados; b) a seleção da proposta mais vantajosa para a Administração Pública, sendo a competição que se estabelece entre os interessados que preencheram os atributos e requisitos necessários para contratar resulta na obtenção da melhor prop</w:t>
      </w:r>
      <w:r w:rsidR="003F488A">
        <w:t>osta para Administração. (AMORIM</w:t>
      </w:r>
      <w:r>
        <w:t>, 2017 p. 22).</w:t>
      </w:r>
    </w:p>
    <w:p w14:paraId="40565D51" w14:textId="46D77A98" w:rsidR="005E5EA6" w:rsidRDefault="005E5EA6" w:rsidP="006E5406">
      <w:pPr>
        <w:pStyle w:val="UnidaviTexto-Espao15"/>
      </w:pPr>
    </w:p>
    <w:p w14:paraId="5386F455" w14:textId="229E84D9" w:rsidR="00EB01AD" w:rsidRDefault="00EF3BA4" w:rsidP="008F7EA8">
      <w:pPr>
        <w:pStyle w:val="UnidaviTexto-Espao15"/>
      </w:pPr>
      <w:r>
        <w:t>Em</w:t>
      </w:r>
      <w:r w:rsidR="00EB01AD">
        <w:t xml:space="preserve"> 2010, a Lei Geral de Licitações </w:t>
      </w:r>
      <w:r>
        <w:t xml:space="preserve">e Contratos Administrativos passou por uma alteração muito significativa, devendo a administração buscar não somente a proposta mais vantajosa no aspecto econômico-financeiro, mas sim, fazer sua busca visando encontrar a proposta que também promova o desenvolvimento sustentável, beneficiando a economia do país, juntamente com a sociedade. “[...] </w:t>
      </w:r>
      <w:r w:rsidR="00EA6C67">
        <w:t>a promoção do desenvolvimento nacional sustentável”. (Art. 3º da Lei nº 8.666/93).</w:t>
      </w:r>
    </w:p>
    <w:p w14:paraId="0CBE5174" w14:textId="6911534D" w:rsidR="00D14414" w:rsidRDefault="00EA6C67" w:rsidP="00C75B02">
      <w:pPr>
        <w:pStyle w:val="UnidaviTexto-Espao15"/>
      </w:pPr>
      <w:r>
        <w:t xml:space="preserve">Segundo Gasparini (2012), entende-se então, que duas são as finalidades das licitações, primeiro proporcionar as entidades obrigadas a licitar, a conquista da proposta que melhor cumpra os objetivos da entidade licitante, principalmente em aspectos financeiros, ou seja, a mais vantajosa, e em segundo lugar, constituir a igualdade entre os participantes a serem contratados. </w:t>
      </w:r>
    </w:p>
    <w:p w14:paraId="3B1CC879" w14:textId="0CF326D9" w:rsidR="00D14414" w:rsidRPr="004B4D3F" w:rsidRDefault="00F05863" w:rsidP="008F7EA8">
      <w:pPr>
        <w:pStyle w:val="UNIDAVISEOSECUNDARIA"/>
        <w:spacing w:line="360" w:lineRule="auto"/>
      </w:pPr>
      <w:r>
        <w:lastRenderedPageBreak/>
        <w:t>2.3 Obrigatoriedade de licitar</w:t>
      </w:r>
    </w:p>
    <w:p w14:paraId="39FEBE33" w14:textId="4D839FA0" w:rsidR="00D14414" w:rsidRDefault="00D14414" w:rsidP="00EB579E">
      <w:pPr>
        <w:pStyle w:val="UnidaviTexto-Espao15"/>
        <w:ind w:firstLine="0"/>
      </w:pPr>
    </w:p>
    <w:p w14:paraId="4D8F91DE" w14:textId="0E1D42FA" w:rsidR="00D14414" w:rsidRDefault="00D14414" w:rsidP="008F7EA8">
      <w:pPr>
        <w:pStyle w:val="UnidaviTexto-Espao15"/>
      </w:pPr>
      <w:r>
        <w:t>Na Constituição Federal de 1988, está descrita a obrigatoriedade da realização de licitações públicas:</w:t>
      </w:r>
    </w:p>
    <w:p w14:paraId="139F32AF" w14:textId="4E2C7885" w:rsidR="00D14414" w:rsidRDefault="00D14414" w:rsidP="008F7EA8">
      <w:pPr>
        <w:pStyle w:val="UnidaviTexto-Espao15"/>
      </w:pPr>
    </w:p>
    <w:p w14:paraId="1B185C7D" w14:textId="5E82B581" w:rsidR="00D14414" w:rsidRDefault="00D14414" w:rsidP="006E5406">
      <w:pPr>
        <w:pStyle w:val="UnidaviCitaoLonga"/>
      </w:pPr>
      <w:r>
        <w:t>XXI – 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r w:rsidR="00E63367">
        <w:t xml:space="preserve"> (CONSTITUIÇÃO FEDERAL 1988).</w:t>
      </w:r>
    </w:p>
    <w:p w14:paraId="414C4DEA" w14:textId="1F7DDD28" w:rsidR="000D5D48" w:rsidRPr="00EB01AD" w:rsidRDefault="000D5D48" w:rsidP="006E5406">
      <w:pPr>
        <w:pStyle w:val="UnidaviCitaoLonga"/>
        <w:spacing w:line="360" w:lineRule="auto"/>
        <w:ind w:left="0"/>
      </w:pPr>
    </w:p>
    <w:p w14:paraId="4E975208" w14:textId="7D3A6A9A" w:rsidR="00D12647" w:rsidRDefault="007F4FB0" w:rsidP="008F7EA8">
      <w:pPr>
        <w:pStyle w:val="UnidaviTexto-Espao15"/>
      </w:pPr>
      <w:r>
        <w:t xml:space="preserve">A Constituição Federal </w:t>
      </w:r>
      <w:r w:rsidR="00D12647">
        <w:t xml:space="preserve">de 1988 </w:t>
      </w:r>
      <w:r w:rsidR="001F28C8">
        <w:t>a</w:t>
      </w:r>
      <w:r w:rsidR="00FC076C">
        <w:t>rt</w:t>
      </w:r>
      <w:r w:rsidR="001F28C8">
        <w:t>.</w:t>
      </w:r>
      <w:r w:rsidR="00FC076C">
        <w:t xml:space="preserve"> 6º, </w:t>
      </w:r>
      <w:r w:rsidR="00D12647">
        <w:t xml:space="preserve">em conjunto com a Lei de Licitações </w:t>
      </w:r>
      <w:r w:rsidR="0037482F">
        <w:t xml:space="preserve">nº </w:t>
      </w:r>
      <w:r w:rsidR="00D12647">
        <w:t>8.666/93, definem obra, serviços, compra e alienação conforme apresentado no Quadro 1.</w:t>
      </w:r>
    </w:p>
    <w:p w14:paraId="07085D8F" w14:textId="77777777" w:rsidR="002B42A9" w:rsidRDefault="002B42A9" w:rsidP="00EB579E">
      <w:pPr>
        <w:pStyle w:val="UnidaviTexto-Espao15"/>
        <w:ind w:firstLine="0"/>
      </w:pPr>
    </w:p>
    <w:p w14:paraId="0B08778B" w14:textId="77777777" w:rsidR="00D12647" w:rsidRPr="00D12647" w:rsidRDefault="00D12647" w:rsidP="008F7EA8">
      <w:pPr>
        <w:ind w:left="284"/>
        <w:rPr>
          <w:b/>
          <w:sz w:val="20"/>
        </w:rPr>
      </w:pPr>
      <w:r w:rsidRPr="00D12647">
        <w:rPr>
          <w:b/>
          <w:sz w:val="20"/>
        </w:rPr>
        <w:t>Quadro 1 – Definições dos termos (obra, serviço, compra e alienação)</w:t>
      </w:r>
    </w:p>
    <w:tbl>
      <w:tblPr>
        <w:tblW w:w="8221" w:type="dxa"/>
        <w:tblInd w:w="279" w:type="dxa"/>
        <w:tblBorders>
          <w:top w:val="thinThickSmallGap" w:sz="24" w:space="0" w:color="auto"/>
          <w:left w:val="single" w:sz="4" w:space="0" w:color="auto"/>
          <w:bottom w:val="thickThinSmallGap" w:sz="24" w:space="0" w:color="auto"/>
          <w:right w:val="single" w:sz="4" w:space="0" w:color="auto"/>
          <w:insideH w:val="single" w:sz="4" w:space="0" w:color="auto"/>
          <w:insideV w:val="single" w:sz="6" w:space="0" w:color="auto"/>
        </w:tblBorders>
        <w:tblLook w:val="04A0" w:firstRow="1" w:lastRow="0" w:firstColumn="1" w:lastColumn="0" w:noHBand="0" w:noVBand="1"/>
      </w:tblPr>
      <w:tblGrid>
        <w:gridCol w:w="1189"/>
        <w:gridCol w:w="7032"/>
      </w:tblGrid>
      <w:tr w:rsidR="000D5D48" w:rsidRPr="00D12647" w14:paraId="67BA829C" w14:textId="77777777" w:rsidTr="00CB3A6F">
        <w:trPr>
          <w:trHeight w:val="261"/>
        </w:trPr>
        <w:tc>
          <w:tcPr>
            <w:tcW w:w="1189" w:type="dxa"/>
            <w:tcBorders>
              <w:top w:val="single" w:sz="4" w:space="0" w:color="auto"/>
            </w:tcBorders>
            <w:shd w:val="clear" w:color="auto" w:fill="auto"/>
            <w:vAlign w:val="center"/>
          </w:tcPr>
          <w:p w14:paraId="6109ABCF" w14:textId="77777777" w:rsidR="000D5D48" w:rsidRPr="00D12647" w:rsidRDefault="000D5D48" w:rsidP="00D12647">
            <w:pPr>
              <w:rPr>
                <w:b/>
                <w:sz w:val="20"/>
              </w:rPr>
            </w:pPr>
            <w:r w:rsidRPr="00D12647">
              <w:rPr>
                <w:b/>
                <w:sz w:val="20"/>
              </w:rPr>
              <w:t>Obra</w:t>
            </w:r>
          </w:p>
        </w:tc>
        <w:tc>
          <w:tcPr>
            <w:tcW w:w="7032" w:type="dxa"/>
            <w:tcBorders>
              <w:top w:val="single" w:sz="4" w:space="0" w:color="auto"/>
            </w:tcBorders>
            <w:shd w:val="clear" w:color="auto" w:fill="auto"/>
            <w:vAlign w:val="center"/>
          </w:tcPr>
          <w:p w14:paraId="4B110A07" w14:textId="77777777" w:rsidR="000D5D48" w:rsidRPr="00D12647" w:rsidRDefault="000D5D48" w:rsidP="00D12647">
            <w:pPr>
              <w:rPr>
                <w:sz w:val="20"/>
              </w:rPr>
            </w:pPr>
            <w:r w:rsidRPr="00D12647">
              <w:rPr>
                <w:sz w:val="20"/>
              </w:rPr>
              <w:t>Toda construção, reforma, fabricação, recuperação ou ampliação, realizada por execução direta ou indireta.</w:t>
            </w:r>
          </w:p>
        </w:tc>
      </w:tr>
      <w:tr w:rsidR="000D5D48" w:rsidRPr="00D12647" w14:paraId="4B5C4D5E" w14:textId="77777777" w:rsidTr="00CB3A6F">
        <w:trPr>
          <w:trHeight w:val="261"/>
        </w:trPr>
        <w:tc>
          <w:tcPr>
            <w:tcW w:w="1189" w:type="dxa"/>
            <w:shd w:val="clear" w:color="auto" w:fill="auto"/>
            <w:vAlign w:val="center"/>
          </w:tcPr>
          <w:p w14:paraId="7931933A" w14:textId="77777777" w:rsidR="000D5D48" w:rsidRPr="00D12647" w:rsidRDefault="000D5D48" w:rsidP="00D12647">
            <w:pPr>
              <w:rPr>
                <w:b/>
                <w:sz w:val="20"/>
              </w:rPr>
            </w:pPr>
          </w:p>
          <w:p w14:paraId="7DEA223C" w14:textId="77777777" w:rsidR="000D5D48" w:rsidRPr="00D12647" w:rsidRDefault="000D5D48" w:rsidP="00D12647">
            <w:pPr>
              <w:rPr>
                <w:b/>
                <w:sz w:val="20"/>
              </w:rPr>
            </w:pPr>
            <w:r w:rsidRPr="00D12647">
              <w:rPr>
                <w:b/>
                <w:sz w:val="20"/>
              </w:rPr>
              <w:t>Serviço</w:t>
            </w:r>
          </w:p>
        </w:tc>
        <w:tc>
          <w:tcPr>
            <w:tcW w:w="7032" w:type="dxa"/>
            <w:shd w:val="clear" w:color="auto" w:fill="auto"/>
            <w:vAlign w:val="center"/>
          </w:tcPr>
          <w:p w14:paraId="1A3055E7" w14:textId="77777777" w:rsidR="000D5D48" w:rsidRPr="00D12647" w:rsidRDefault="000D5D48" w:rsidP="00D12647">
            <w:pPr>
              <w:rPr>
                <w:sz w:val="20"/>
              </w:rPr>
            </w:pPr>
            <w:r w:rsidRPr="00D12647">
              <w:rPr>
                <w:sz w:val="20"/>
              </w:rPr>
              <w:t>Toda atividade destinada a obter determinada utilidade de interesse para a Administração, tais como: demolição, conserto, instalação, montagem, operação, conservação, reparação, adaptação, manutenção, transporte, locação de bens, publicidade, seguro ou trabalhos técnicos-profissionais.</w:t>
            </w:r>
          </w:p>
        </w:tc>
      </w:tr>
      <w:tr w:rsidR="000D5D48" w:rsidRPr="00D12647" w14:paraId="3EE8E892" w14:textId="77777777" w:rsidTr="00CB3A6F">
        <w:trPr>
          <w:trHeight w:val="261"/>
        </w:trPr>
        <w:tc>
          <w:tcPr>
            <w:tcW w:w="1189" w:type="dxa"/>
            <w:shd w:val="clear" w:color="auto" w:fill="auto"/>
            <w:vAlign w:val="center"/>
          </w:tcPr>
          <w:p w14:paraId="2F10EFCF" w14:textId="77777777" w:rsidR="000D5D48" w:rsidRPr="00D12647" w:rsidRDefault="000D5D48" w:rsidP="00D12647">
            <w:pPr>
              <w:rPr>
                <w:b/>
                <w:sz w:val="20"/>
              </w:rPr>
            </w:pPr>
            <w:r w:rsidRPr="00D12647">
              <w:rPr>
                <w:b/>
                <w:sz w:val="20"/>
              </w:rPr>
              <w:t>Compra</w:t>
            </w:r>
          </w:p>
        </w:tc>
        <w:tc>
          <w:tcPr>
            <w:tcW w:w="7032" w:type="dxa"/>
            <w:shd w:val="clear" w:color="auto" w:fill="auto"/>
            <w:vAlign w:val="center"/>
          </w:tcPr>
          <w:p w14:paraId="37CC97D0" w14:textId="77777777" w:rsidR="000D5D48" w:rsidRPr="00D12647" w:rsidRDefault="000D5D48" w:rsidP="00D12647">
            <w:pPr>
              <w:rPr>
                <w:sz w:val="20"/>
              </w:rPr>
            </w:pPr>
            <w:r w:rsidRPr="00D12647">
              <w:rPr>
                <w:sz w:val="20"/>
              </w:rPr>
              <w:t>Toda aquisição remunerada de bens para fornecimento de uma só vez ou parceladamente.</w:t>
            </w:r>
          </w:p>
        </w:tc>
      </w:tr>
      <w:tr w:rsidR="000D5D48" w:rsidRPr="00D12647" w14:paraId="306D3BB7" w14:textId="77777777" w:rsidTr="00CB3A6F">
        <w:trPr>
          <w:trHeight w:val="261"/>
        </w:trPr>
        <w:tc>
          <w:tcPr>
            <w:tcW w:w="1189" w:type="dxa"/>
            <w:tcBorders>
              <w:bottom w:val="single" w:sz="4" w:space="0" w:color="auto"/>
            </w:tcBorders>
            <w:shd w:val="clear" w:color="auto" w:fill="auto"/>
            <w:vAlign w:val="center"/>
          </w:tcPr>
          <w:p w14:paraId="082EF2FF" w14:textId="77777777" w:rsidR="000D5D48" w:rsidRPr="00D12647" w:rsidRDefault="000D5D48" w:rsidP="00D12647">
            <w:pPr>
              <w:rPr>
                <w:b/>
                <w:sz w:val="20"/>
              </w:rPr>
            </w:pPr>
            <w:r w:rsidRPr="00D12647">
              <w:rPr>
                <w:b/>
                <w:sz w:val="20"/>
              </w:rPr>
              <w:t>Alienação</w:t>
            </w:r>
          </w:p>
        </w:tc>
        <w:tc>
          <w:tcPr>
            <w:tcW w:w="7032" w:type="dxa"/>
            <w:tcBorders>
              <w:bottom w:val="single" w:sz="4" w:space="0" w:color="auto"/>
            </w:tcBorders>
            <w:shd w:val="clear" w:color="auto" w:fill="auto"/>
            <w:vAlign w:val="center"/>
          </w:tcPr>
          <w:p w14:paraId="0C2CDED5" w14:textId="77777777" w:rsidR="000D5D48" w:rsidRPr="00D12647" w:rsidRDefault="000D5D48" w:rsidP="00D12647">
            <w:pPr>
              <w:rPr>
                <w:sz w:val="20"/>
              </w:rPr>
            </w:pPr>
            <w:r w:rsidRPr="00D12647">
              <w:rPr>
                <w:sz w:val="20"/>
              </w:rPr>
              <w:t>Toda transferência de domínio de bens a terceiros.</w:t>
            </w:r>
          </w:p>
        </w:tc>
      </w:tr>
    </w:tbl>
    <w:p w14:paraId="320CA25E" w14:textId="7AEC9A8C" w:rsidR="000D5D48" w:rsidRDefault="000D5D48" w:rsidP="00EA1CA5">
      <w:pPr>
        <w:ind w:left="284"/>
        <w:rPr>
          <w:sz w:val="20"/>
        </w:rPr>
      </w:pPr>
      <w:r>
        <w:rPr>
          <w:sz w:val="20"/>
        </w:rPr>
        <w:t xml:space="preserve">Fonte: </w:t>
      </w:r>
      <w:r w:rsidR="00DB2E5B">
        <w:rPr>
          <w:sz w:val="20"/>
        </w:rPr>
        <w:t xml:space="preserve">Elaborado a partir da </w:t>
      </w:r>
      <w:r w:rsidR="00EA1CA5">
        <w:rPr>
          <w:sz w:val="20"/>
        </w:rPr>
        <w:t xml:space="preserve">Constituição Federal </w:t>
      </w:r>
      <w:r w:rsidR="00A81115">
        <w:rPr>
          <w:sz w:val="20"/>
        </w:rPr>
        <w:t>(</w:t>
      </w:r>
      <w:r w:rsidR="00EA1CA5">
        <w:rPr>
          <w:sz w:val="20"/>
        </w:rPr>
        <w:t>1988</w:t>
      </w:r>
      <w:r w:rsidR="00A81115">
        <w:rPr>
          <w:sz w:val="20"/>
        </w:rPr>
        <w:t>)</w:t>
      </w:r>
    </w:p>
    <w:p w14:paraId="359CB077" w14:textId="62B64067" w:rsidR="00EA1CA5" w:rsidRDefault="00EA1CA5" w:rsidP="008F7EA8">
      <w:pPr>
        <w:pStyle w:val="UnidaviTexto-Espao15"/>
        <w:ind w:firstLine="0"/>
      </w:pPr>
    </w:p>
    <w:p w14:paraId="6060A8DF" w14:textId="6E111771" w:rsidR="00A81115" w:rsidRDefault="00B41695" w:rsidP="00AF6FFA">
      <w:pPr>
        <w:pStyle w:val="UnidaviTexto-Espao15"/>
      </w:pPr>
      <w:r>
        <w:t>Segundo Amorim (2017), Fora isso, estão obrigadas a realizar licitação pública as entidades integrantes das Administrações indiretas dos entes federativos, ou seja, autarquias, fundações públicas, empresas públicas, sociedades de economia mista e demais entidades controladas direta ou indiretamente pela União, Estados,</w:t>
      </w:r>
      <w:r w:rsidR="00AF6FFA">
        <w:t xml:space="preserve"> Distrito Federal e Municípios.</w:t>
      </w:r>
    </w:p>
    <w:p w14:paraId="6344D5EA" w14:textId="23130B4F" w:rsidR="00B80A5B" w:rsidRDefault="00B80A5B" w:rsidP="00B80A5B">
      <w:pPr>
        <w:pStyle w:val="UnidaviTexto-Espao15"/>
        <w:ind w:firstLine="0"/>
      </w:pPr>
    </w:p>
    <w:p w14:paraId="2CA59DB5" w14:textId="6A629C07" w:rsidR="00475F5D" w:rsidRDefault="00475F5D" w:rsidP="00B80A5B">
      <w:pPr>
        <w:pStyle w:val="UnidaviTexto-Espao15"/>
        <w:ind w:firstLine="0"/>
      </w:pPr>
    </w:p>
    <w:p w14:paraId="6408A7F6" w14:textId="1872B6DD" w:rsidR="00475F5D" w:rsidRDefault="00475F5D" w:rsidP="00B80A5B">
      <w:pPr>
        <w:pStyle w:val="UnidaviTexto-Espao15"/>
        <w:ind w:firstLine="0"/>
      </w:pPr>
    </w:p>
    <w:p w14:paraId="03DE002D" w14:textId="56EB5D0B" w:rsidR="00475F5D" w:rsidRDefault="00475F5D" w:rsidP="00B80A5B">
      <w:pPr>
        <w:pStyle w:val="UnidaviTexto-Espao15"/>
        <w:ind w:firstLine="0"/>
      </w:pPr>
    </w:p>
    <w:p w14:paraId="1E5D441E" w14:textId="5E0EC7AB" w:rsidR="00475F5D" w:rsidRDefault="00475F5D" w:rsidP="00B80A5B">
      <w:pPr>
        <w:pStyle w:val="UnidaviTexto-Espao15"/>
        <w:ind w:firstLine="0"/>
      </w:pPr>
    </w:p>
    <w:p w14:paraId="780EC5B5" w14:textId="04DF91D1" w:rsidR="00475F5D" w:rsidRDefault="00475F5D" w:rsidP="00B80A5B">
      <w:pPr>
        <w:pStyle w:val="UnidaviTexto-Espao15"/>
        <w:ind w:firstLine="0"/>
      </w:pPr>
    </w:p>
    <w:p w14:paraId="0FE9A5D2" w14:textId="00178F78" w:rsidR="00475F5D" w:rsidRDefault="00475F5D" w:rsidP="00B80A5B">
      <w:pPr>
        <w:pStyle w:val="UnidaviTexto-Espao15"/>
        <w:ind w:firstLine="0"/>
      </w:pPr>
    </w:p>
    <w:p w14:paraId="22E79931" w14:textId="0A32D186" w:rsidR="00475F5D" w:rsidRDefault="00475F5D" w:rsidP="00B80A5B">
      <w:pPr>
        <w:pStyle w:val="UnidaviTexto-Espao15"/>
        <w:ind w:firstLine="0"/>
      </w:pPr>
    </w:p>
    <w:p w14:paraId="5A9CA771" w14:textId="27067729" w:rsidR="00475F5D" w:rsidRDefault="00475F5D" w:rsidP="00B80A5B">
      <w:pPr>
        <w:pStyle w:val="UnidaviTexto-Espao15"/>
        <w:ind w:firstLine="0"/>
      </w:pPr>
    </w:p>
    <w:p w14:paraId="3E1614A5" w14:textId="77777777" w:rsidR="00C75B02" w:rsidRDefault="00C75B02" w:rsidP="00B80A5B">
      <w:pPr>
        <w:pStyle w:val="UnidaviTexto-Espao15"/>
        <w:ind w:firstLine="0"/>
      </w:pPr>
    </w:p>
    <w:p w14:paraId="261810AA" w14:textId="0A94B6AB" w:rsidR="00DA2636" w:rsidRPr="008C4DBF" w:rsidRDefault="00DA2636" w:rsidP="00B80A5B">
      <w:pPr>
        <w:ind w:left="284"/>
        <w:rPr>
          <w:b/>
          <w:sz w:val="20"/>
        </w:rPr>
      </w:pPr>
      <w:r w:rsidRPr="00AF6FFA">
        <w:rPr>
          <w:b/>
          <w:sz w:val="20"/>
        </w:rPr>
        <w:lastRenderedPageBreak/>
        <w:t>Quadro 2 – Entidades Obrigadas a Licitar</w:t>
      </w:r>
      <w:r w:rsidR="00AF6FFA">
        <w:rPr>
          <w:b/>
          <w:sz w:val="20"/>
        </w:rPr>
        <w:t xml:space="preserve"> </w:t>
      </w:r>
    </w:p>
    <w:tbl>
      <w:tblPr>
        <w:tblW w:w="8363" w:type="dxa"/>
        <w:tblInd w:w="279" w:type="dxa"/>
        <w:tblBorders>
          <w:top w:val="thinThickSmallGap" w:sz="24" w:space="0" w:color="auto"/>
          <w:left w:val="single" w:sz="4" w:space="0" w:color="auto"/>
          <w:bottom w:val="thickThinSmallGap" w:sz="2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415"/>
      </w:tblGrid>
      <w:tr w:rsidR="00DA2636" w:rsidRPr="00C460D1" w14:paraId="55324435" w14:textId="77777777" w:rsidTr="00CB3A6F">
        <w:trPr>
          <w:trHeight w:val="495"/>
        </w:trPr>
        <w:tc>
          <w:tcPr>
            <w:tcW w:w="2948" w:type="dxa"/>
            <w:tcBorders>
              <w:top w:val="single" w:sz="4" w:space="0" w:color="auto"/>
              <w:bottom w:val="single" w:sz="4" w:space="0" w:color="auto"/>
            </w:tcBorders>
            <w:shd w:val="clear" w:color="auto" w:fill="auto"/>
          </w:tcPr>
          <w:p w14:paraId="04440B79" w14:textId="77777777" w:rsidR="00DA2636" w:rsidRPr="00C460D1" w:rsidRDefault="00DA2636" w:rsidP="00AF6FFA">
            <w:pPr>
              <w:jc w:val="center"/>
              <w:rPr>
                <w:b/>
                <w:sz w:val="20"/>
              </w:rPr>
            </w:pPr>
            <w:r w:rsidRPr="00C460D1">
              <w:rPr>
                <w:b/>
                <w:sz w:val="20"/>
              </w:rPr>
              <w:t>Órgãos da Administração Pública Direta</w:t>
            </w:r>
          </w:p>
        </w:tc>
        <w:tc>
          <w:tcPr>
            <w:tcW w:w="5415" w:type="dxa"/>
            <w:tcBorders>
              <w:top w:val="single" w:sz="4" w:space="0" w:color="auto"/>
              <w:bottom w:val="single" w:sz="4" w:space="0" w:color="auto"/>
            </w:tcBorders>
            <w:shd w:val="clear" w:color="auto" w:fill="auto"/>
          </w:tcPr>
          <w:p w14:paraId="4178DFE6" w14:textId="77777777" w:rsidR="00DA2636" w:rsidRPr="00C460D1" w:rsidRDefault="00DA2636" w:rsidP="00AF6FFA">
            <w:pPr>
              <w:jc w:val="both"/>
              <w:rPr>
                <w:sz w:val="20"/>
              </w:rPr>
            </w:pPr>
            <w:r w:rsidRPr="00C460D1">
              <w:rPr>
                <w:sz w:val="20"/>
              </w:rPr>
              <w:t>União, Estados, Distrito Federal e Municípios</w:t>
            </w:r>
          </w:p>
        </w:tc>
      </w:tr>
      <w:tr w:rsidR="00DA2636" w:rsidRPr="00C460D1" w14:paraId="0AFCA38C" w14:textId="77777777" w:rsidTr="00CB3A6F">
        <w:trPr>
          <w:trHeight w:val="2683"/>
        </w:trPr>
        <w:tc>
          <w:tcPr>
            <w:tcW w:w="2948" w:type="dxa"/>
            <w:tcBorders>
              <w:top w:val="single" w:sz="4" w:space="0" w:color="auto"/>
            </w:tcBorders>
            <w:shd w:val="clear" w:color="auto" w:fill="auto"/>
          </w:tcPr>
          <w:p w14:paraId="046F944D" w14:textId="77777777" w:rsidR="00DA2636" w:rsidRPr="00C460D1" w:rsidRDefault="00DA2636" w:rsidP="00AF6FFA">
            <w:pPr>
              <w:jc w:val="center"/>
              <w:rPr>
                <w:b/>
                <w:sz w:val="20"/>
              </w:rPr>
            </w:pPr>
          </w:p>
          <w:p w14:paraId="479908CB" w14:textId="77777777" w:rsidR="00DA2636" w:rsidRPr="00C460D1" w:rsidRDefault="00DA2636" w:rsidP="00AF6FFA">
            <w:pPr>
              <w:jc w:val="center"/>
              <w:rPr>
                <w:b/>
                <w:sz w:val="20"/>
              </w:rPr>
            </w:pPr>
          </w:p>
          <w:p w14:paraId="54F31DC6" w14:textId="77777777" w:rsidR="00DA2636" w:rsidRPr="00C460D1" w:rsidRDefault="00DA2636" w:rsidP="00AF6FFA">
            <w:pPr>
              <w:jc w:val="center"/>
              <w:rPr>
                <w:b/>
                <w:sz w:val="20"/>
              </w:rPr>
            </w:pPr>
          </w:p>
          <w:p w14:paraId="0DCA2075" w14:textId="77777777" w:rsidR="00DA2636" w:rsidRPr="00C460D1" w:rsidRDefault="00DA2636" w:rsidP="00AF6FFA">
            <w:pPr>
              <w:jc w:val="center"/>
              <w:rPr>
                <w:b/>
                <w:sz w:val="20"/>
              </w:rPr>
            </w:pPr>
          </w:p>
          <w:p w14:paraId="1E4BCEB8" w14:textId="77777777" w:rsidR="00DA2636" w:rsidRPr="00C460D1" w:rsidRDefault="00DA2636" w:rsidP="00AF6FFA">
            <w:pPr>
              <w:jc w:val="center"/>
              <w:rPr>
                <w:b/>
                <w:sz w:val="20"/>
              </w:rPr>
            </w:pPr>
            <w:r w:rsidRPr="00C460D1">
              <w:rPr>
                <w:b/>
                <w:sz w:val="20"/>
              </w:rPr>
              <w:t>Administração Pública Indireta</w:t>
            </w:r>
          </w:p>
        </w:tc>
        <w:tc>
          <w:tcPr>
            <w:tcW w:w="5415" w:type="dxa"/>
            <w:tcBorders>
              <w:top w:val="single" w:sz="4" w:space="0" w:color="auto"/>
            </w:tcBorders>
            <w:shd w:val="clear" w:color="auto" w:fill="auto"/>
          </w:tcPr>
          <w:p w14:paraId="5D4634BF" w14:textId="49325D2B" w:rsidR="00DA2636" w:rsidRDefault="00DA2636" w:rsidP="00AF6FFA">
            <w:pPr>
              <w:jc w:val="both"/>
              <w:rPr>
                <w:sz w:val="20"/>
              </w:rPr>
            </w:pPr>
            <w:r w:rsidRPr="00C460D1">
              <w:rPr>
                <w:sz w:val="20"/>
              </w:rPr>
              <w:t>Autarquias, incluindo as agências reguladoras e executivas;</w:t>
            </w:r>
          </w:p>
          <w:p w14:paraId="2C2D26D2" w14:textId="77777777" w:rsidR="00F05863" w:rsidRPr="00C460D1" w:rsidRDefault="00F05863" w:rsidP="00AF6FFA">
            <w:pPr>
              <w:jc w:val="both"/>
              <w:rPr>
                <w:sz w:val="20"/>
              </w:rPr>
            </w:pPr>
          </w:p>
          <w:p w14:paraId="69625D4C" w14:textId="7B919384" w:rsidR="00DA2636" w:rsidRDefault="00DA2636" w:rsidP="00AF6FFA">
            <w:pPr>
              <w:jc w:val="both"/>
              <w:rPr>
                <w:sz w:val="20"/>
              </w:rPr>
            </w:pPr>
            <w:r w:rsidRPr="00C460D1">
              <w:rPr>
                <w:sz w:val="20"/>
              </w:rPr>
              <w:t>Conselhos Profissionais, Autarquias Especiais;</w:t>
            </w:r>
          </w:p>
          <w:p w14:paraId="1AD5177B" w14:textId="77777777" w:rsidR="00F05863" w:rsidRPr="00C460D1" w:rsidRDefault="00F05863" w:rsidP="00AF6FFA">
            <w:pPr>
              <w:jc w:val="both"/>
              <w:rPr>
                <w:sz w:val="20"/>
              </w:rPr>
            </w:pPr>
          </w:p>
          <w:p w14:paraId="7DA22B9C" w14:textId="14CFEBF8" w:rsidR="00DA2636" w:rsidRDefault="00DA2636" w:rsidP="00AF6FFA">
            <w:pPr>
              <w:jc w:val="both"/>
              <w:rPr>
                <w:sz w:val="20"/>
              </w:rPr>
            </w:pPr>
            <w:r w:rsidRPr="00C460D1">
              <w:rPr>
                <w:sz w:val="20"/>
              </w:rPr>
              <w:t>Fundações Públicas;</w:t>
            </w:r>
          </w:p>
          <w:p w14:paraId="079C38FA" w14:textId="77777777" w:rsidR="00F05863" w:rsidRPr="00C460D1" w:rsidRDefault="00F05863" w:rsidP="00AF6FFA">
            <w:pPr>
              <w:jc w:val="both"/>
              <w:rPr>
                <w:sz w:val="20"/>
              </w:rPr>
            </w:pPr>
          </w:p>
          <w:p w14:paraId="516FFB4E" w14:textId="40D57AD3" w:rsidR="00DA2636" w:rsidRDefault="00DA2636" w:rsidP="00AF6FFA">
            <w:pPr>
              <w:jc w:val="both"/>
              <w:rPr>
                <w:sz w:val="20"/>
              </w:rPr>
            </w:pPr>
            <w:r w:rsidRPr="00C460D1">
              <w:rPr>
                <w:sz w:val="20"/>
              </w:rPr>
              <w:t>Empresas Públicas;</w:t>
            </w:r>
          </w:p>
          <w:p w14:paraId="58D5D7C1" w14:textId="77777777" w:rsidR="00F05863" w:rsidRPr="00C460D1" w:rsidRDefault="00F05863" w:rsidP="00AF6FFA">
            <w:pPr>
              <w:jc w:val="both"/>
              <w:rPr>
                <w:sz w:val="20"/>
              </w:rPr>
            </w:pPr>
          </w:p>
          <w:p w14:paraId="5008AE16" w14:textId="2A9162A0" w:rsidR="00DA2636" w:rsidRDefault="00DA2636" w:rsidP="00AF6FFA">
            <w:pPr>
              <w:jc w:val="both"/>
              <w:rPr>
                <w:sz w:val="20"/>
              </w:rPr>
            </w:pPr>
            <w:r w:rsidRPr="00C460D1">
              <w:rPr>
                <w:sz w:val="20"/>
              </w:rPr>
              <w:t>Sociedades de Economia Mista;</w:t>
            </w:r>
          </w:p>
          <w:p w14:paraId="2681523E" w14:textId="77777777" w:rsidR="00F05863" w:rsidRPr="00C460D1" w:rsidRDefault="00F05863" w:rsidP="00AF6FFA">
            <w:pPr>
              <w:jc w:val="both"/>
              <w:rPr>
                <w:sz w:val="20"/>
              </w:rPr>
            </w:pPr>
          </w:p>
          <w:p w14:paraId="780B5828" w14:textId="0BAD1249" w:rsidR="00DA2636" w:rsidRDefault="00DA2636" w:rsidP="00AF6FFA">
            <w:pPr>
              <w:jc w:val="both"/>
              <w:rPr>
                <w:sz w:val="20"/>
              </w:rPr>
            </w:pPr>
            <w:r w:rsidRPr="00C460D1">
              <w:rPr>
                <w:sz w:val="20"/>
              </w:rPr>
              <w:t>Associações Públicas, Consórcios Públicos – Lei nº 9.790/1999 – Brasil, 1999;</w:t>
            </w:r>
          </w:p>
          <w:p w14:paraId="09A32E4C" w14:textId="77777777" w:rsidR="00F05863" w:rsidRPr="00C460D1" w:rsidRDefault="00F05863" w:rsidP="00AF6FFA">
            <w:pPr>
              <w:jc w:val="both"/>
              <w:rPr>
                <w:sz w:val="20"/>
              </w:rPr>
            </w:pPr>
          </w:p>
          <w:p w14:paraId="6641F263" w14:textId="77777777" w:rsidR="00DA2636" w:rsidRPr="00C460D1" w:rsidRDefault="00DA2636" w:rsidP="00AF6FFA">
            <w:pPr>
              <w:jc w:val="both"/>
              <w:rPr>
                <w:sz w:val="20"/>
              </w:rPr>
            </w:pPr>
            <w:r w:rsidRPr="00C460D1">
              <w:rPr>
                <w:sz w:val="20"/>
              </w:rPr>
              <w:t>Fundos Especiais, Unidades Orçamentárias.</w:t>
            </w:r>
          </w:p>
        </w:tc>
      </w:tr>
      <w:tr w:rsidR="00DA2636" w:rsidRPr="00C460D1" w14:paraId="45C450E6" w14:textId="77777777" w:rsidTr="00CB3A6F">
        <w:trPr>
          <w:trHeight w:val="546"/>
        </w:trPr>
        <w:tc>
          <w:tcPr>
            <w:tcW w:w="2948" w:type="dxa"/>
            <w:tcBorders>
              <w:top w:val="single" w:sz="4" w:space="0" w:color="auto"/>
              <w:bottom w:val="single" w:sz="4" w:space="0" w:color="auto"/>
            </w:tcBorders>
            <w:shd w:val="clear" w:color="auto" w:fill="auto"/>
          </w:tcPr>
          <w:p w14:paraId="191AF4B3" w14:textId="77777777" w:rsidR="00DA2636" w:rsidRPr="00C460D1" w:rsidRDefault="00DA2636" w:rsidP="00AF6FFA">
            <w:pPr>
              <w:jc w:val="center"/>
              <w:rPr>
                <w:b/>
                <w:sz w:val="20"/>
              </w:rPr>
            </w:pPr>
          </w:p>
          <w:p w14:paraId="7ECFE6FB" w14:textId="4F1F2DB6" w:rsidR="00DA2636" w:rsidRPr="00C460D1" w:rsidRDefault="00DA2636" w:rsidP="00AF6FFA">
            <w:pPr>
              <w:rPr>
                <w:b/>
                <w:sz w:val="20"/>
              </w:rPr>
            </w:pPr>
          </w:p>
          <w:p w14:paraId="08DD1FDA" w14:textId="77777777" w:rsidR="00DA2636" w:rsidRPr="00C460D1" w:rsidRDefault="00DA2636" w:rsidP="00AF6FFA">
            <w:pPr>
              <w:jc w:val="center"/>
              <w:rPr>
                <w:b/>
                <w:sz w:val="20"/>
              </w:rPr>
            </w:pPr>
            <w:r w:rsidRPr="00C460D1">
              <w:rPr>
                <w:b/>
                <w:sz w:val="20"/>
              </w:rPr>
              <w:t>Entidades do Terceiro Setor</w:t>
            </w:r>
          </w:p>
        </w:tc>
        <w:tc>
          <w:tcPr>
            <w:tcW w:w="5415" w:type="dxa"/>
            <w:tcBorders>
              <w:top w:val="single" w:sz="4" w:space="0" w:color="auto"/>
              <w:bottom w:val="single" w:sz="4" w:space="0" w:color="auto"/>
            </w:tcBorders>
            <w:shd w:val="clear" w:color="auto" w:fill="auto"/>
          </w:tcPr>
          <w:p w14:paraId="261B9AA1" w14:textId="5B5FC324" w:rsidR="00DA2636" w:rsidRDefault="00DA2636" w:rsidP="00AF6FFA">
            <w:pPr>
              <w:jc w:val="both"/>
              <w:rPr>
                <w:sz w:val="20"/>
              </w:rPr>
            </w:pPr>
            <w:r w:rsidRPr="00C460D1">
              <w:rPr>
                <w:sz w:val="20"/>
              </w:rPr>
              <w:t>Entidades do sistema “S”, por meio de regulamentos próprios, observados os princípios da Administração Pública (BRASIL, 1977);</w:t>
            </w:r>
          </w:p>
          <w:p w14:paraId="03CE2E46" w14:textId="77777777" w:rsidR="002B42A9" w:rsidRPr="00C460D1" w:rsidRDefault="002B42A9" w:rsidP="00AF6FFA">
            <w:pPr>
              <w:jc w:val="both"/>
              <w:rPr>
                <w:sz w:val="20"/>
              </w:rPr>
            </w:pPr>
          </w:p>
          <w:p w14:paraId="0C07E151" w14:textId="74AD0866" w:rsidR="00DA2636" w:rsidRDefault="00DA2636" w:rsidP="00AF6FFA">
            <w:pPr>
              <w:jc w:val="both"/>
              <w:rPr>
                <w:sz w:val="20"/>
              </w:rPr>
            </w:pPr>
            <w:r w:rsidRPr="00C460D1">
              <w:rPr>
                <w:sz w:val="20"/>
              </w:rPr>
              <w:t>Organizações da sociedade civil de interesse público (Lei 9.790/1999)</w:t>
            </w:r>
          </w:p>
          <w:p w14:paraId="2D282F9C" w14:textId="77777777" w:rsidR="00F05863" w:rsidRPr="00C460D1" w:rsidRDefault="00F05863" w:rsidP="00AF6FFA">
            <w:pPr>
              <w:jc w:val="both"/>
              <w:rPr>
                <w:sz w:val="20"/>
              </w:rPr>
            </w:pPr>
          </w:p>
          <w:p w14:paraId="255B9733" w14:textId="77777777" w:rsidR="00DA2636" w:rsidRPr="00C460D1" w:rsidRDefault="00DA2636" w:rsidP="00AF6FFA">
            <w:pPr>
              <w:jc w:val="both"/>
              <w:rPr>
                <w:sz w:val="20"/>
              </w:rPr>
            </w:pPr>
            <w:r w:rsidRPr="00C460D1">
              <w:rPr>
                <w:sz w:val="20"/>
              </w:rPr>
              <w:t>Organizações sociais (BRASIL, 1998)</w:t>
            </w:r>
          </w:p>
        </w:tc>
      </w:tr>
    </w:tbl>
    <w:p w14:paraId="69066008" w14:textId="061CD469" w:rsidR="00DA2636" w:rsidRPr="007E1E17" w:rsidRDefault="00DA2636" w:rsidP="00CB3A6F">
      <w:pPr>
        <w:ind w:left="284"/>
        <w:rPr>
          <w:sz w:val="20"/>
        </w:rPr>
      </w:pPr>
      <w:r w:rsidRPr="007E1E17">
        <w:rPr>
          <w:sz w:val="20"/>
        </w:rPr>
        <w:t xml:space="preserve">Fonte: </w:t>
      </w:r>
      <w:r w:rsidR="00A81115">
        <w:rPr>
          <w:sz w:val="20"/>
        </w:rPr>
        <w:t xml:space="preserve">Elaborado a partir de </w:t>
      </w:r>
      <w:r w:rsidRPr="007E1E17">
        <w:rPr>
          <w:sz w:val="20"/>
        </w:rPr>
        <w:t>Licitaçõ</w:t>
      </w:r>
      <w:r w:rsidR="00A81115">
        <w:rPr>
          <w:sz w:val="20"/>
        </w:rPr>
        <w:t>es e Contratos Administrativos (2016)</w:t>
      </w:r>
    </w:p>
    <w:p w14:paraId="692656F3" w14:textId="369DCE9B" w:rsidR="00DB072D" w:rsidRDefault="00DB072D" w:rsidP="008F7EA8">
      <w:pPr>
        <w:pStyle w:val="UnidaviTexto-Espao15"/>
        <w:ind w:firstLine="0"/>
      </w:pPr>
    </w:p>
    <w:p w14:paraId="5F0BF35D" w14:textId="4E78CDD5" w:rsidR="00AF6FFA" w:rsidRDefault="00AF6FFA" w:rsidP="00AF6FFA">
      <w:pPr>
        <w:pStyle w:val="UnidaviTexto-Espao15"/>
      </w:pPr>
      <w:r w:rsidRPr="004C4345">
        <w:t xml:space="preserve">Diante disso, </w:t>
      </w:r>
      <w:r>
        <w:t xml:space="preserve">conforme apresentado no Quadro 2, </w:t>
      </w:r>
      <w:r w:rsidRPr="004C4345">
        <w:t xml:space="preserve">a obrigatoriedade de licitar engloba órgãos administrativos dos Poderes Executivo, Legislativo e Judiciário, dos Tribunais de Contas do Ministério Público. </w:t>
      </w:r>
      <w:r>
        <w:t xml:space="preserve">Conforme a Constituição Federal (1988) “As obras, serviços, compras e alienações realizadas pelos órgãos dos Poderes Legislativo e Judiciário e do Tribunal de Contas regem-se pelas normas desta Lei, no que couber, nas três esferas administrativas.”. </w:t>
      </w:r>
    </w:p>
    <w:p w14:paraId="0B7D3F6C" w14:textId="77777777" w:rsidR="00AF6FFA" w:rsidRDefault="00AF6FFA" w:rsidP="00AF6FFA">
      <w:pPr>
        <w:pStyle w:val="UnidaviTexto-Espao15"/>
      </w:pPr>
    </w:p>
    <w:p w14:paraId="62002106" w14:textId="49B56F7E" w:rsidR="00F174EE" w:rsidRDefault="00172036" w:rsidP="008F7EA8">
      <w:pPr>
        <w:pStyle w:val="UNIDAVISEOSECUNDARIA"/>
        <w:spacing w:line="360" w:lineRule="auto"/>
      </w:pPr>
      <w:r>
        <w:t>2.4</w:t>
      </w:r>
      <w:r w:rsidR="00E7400A">
        <w:t xml:space="preserve"> princípios</w:t>
      </w:r>
      <w:r w:rsidR="00B94392">
        <w:t xml:space="preserve"> norteadores da licitação</w:t>
      </w:r>
    </w:p>
    <w:p w14:paraId="5D3158CC" w14:textId="1B1878A8" w:rsidR="00F05863" w:rsidRDefault="00F05863" w:rsidP="008F7EA8">
      <w:pPr>
        <w:pStyle w:val="UnidaviTexto-Espao15"/>
        <w:ind w:firstLine="0"/>
      </w:pPr>
    </w:p>
    <w:p w14:paraId="257CF6CD" w14:textId="2901C273" w:rsidR="00FC0EFD" w:rsidRDefault="00FC0EFD" w:rsidP="008F7EA8">
      <w:pPr>
        <w:pStyle w:val="UnidaviTexto-Espao15"/>
      </w:pPr>
      <w:r>
        <w:t xml:space="preserve">Conforme Bacellar (2006, p 112) “O dever de licitar </w:t>
      </w:r>
      <w:r w:rsidR="00695AEE">
        <w:t>é visto, pela doutrina, como um princípio, decorrente da indisponibilidade do interesse público, que restringe e condiciona a liberdade administrativa na escolha de um contratante.”.</w:t>
      </w:r>
    </w:p>
    <w:p w14:paraId="7BC97CDE" w14:textId="77777777" w:rsidR="00806D9B" w:rsidRDefault="00806D9B" w:rsidP="00EB579E">
      <w:pPr>
        <w:pStyle w:val="UnidaviTexto-Espao15"/>
        <w:ind w:firstLine="0"/>
      </w:pPr>
    </w:p>
    <w:p w14:paraId="44304482" w14:textId="5F7DAF7D" w:rsidR="00806D9B" w:rsidRDefault="00A44DEC" w:rsidP="006E5406">
      <w:pPr>
        <w:pStyle w:val="UnidaviCitaoLonga"/>
      </w:pPr>
      <w:r>
        <w:t xml:space="preserve">Art. 3º A licitação destina-se a garantir a observância do princípio constitucional da isonomia, </w:t>
      </w:r>
      <w:r w:rsidR="00806D9B">
        <w:t xml:space="preserve">[...] </w:t>
      </w:r>
      <w:r>
        <w:t xml:space="preserve">e será processada e julgada em estrita conformidade com os princípios básicos da legalidade, da impessoalidade, da moralidade, da igualdade, da publicidade, da probidade administrativa, da vinculação ao instrumento convocatório, do julgamento </w:t>
      </w:r>
      <w:r w:rsidR="00806D9B">
        <w:t xml:space="preserve">objetivo e dos que lhes são correlatos. </w:t>
      </w:r>
      <w:r w:rsidR="001F28C8">
        <w:t>(LEI</w:t>
      </w:r>
      <w:r w:rsidR="00806D9B" w:rsidRPr="001F28C8">
        <w:t xml:space="preserve"> </w:t>
      </w:r>
      <w:r w:rsidR="0037482F">
        <w:t xml:space="preserve">nº </w:t>
      </w:r>
      <w:r w:rsidR="00806D9B" w:rsidRPr="001F28C8">
        <w:t>8.666/93</w:t>
      </w:r>
      <w:r w:rsidR="001F28C8">
        <w:t>, Art. 3º</w:t>
      </w:r>
      <w:r w:rsidR="00806D9B" w:rsidRPr="001F28C8">
        <w:t>)</w:t>
      </w:r>
    </w:p>
    <w:p w14:paraId="7E398183" w14:textId="77777777" w:rsidR="0062394E" w:rsidRDefault="0062394E" w:rsidP="008F7EA8">
      <w:pPr>
        <w:pStyle w:val="UnidaviTexto-Espao15"/>
        <w:ind w:firstLine="0"/>
      </w:pPr>
    </w:p>
    <w:p w14:paraId="0A9BF944" w14:textId="73211E06" w:rsidR="00695AEE" w:rsidRDefault="00695AEE" w:rsidP="00695AEE">
      <w:pPr>
        <w:pStyle w:val="UnidaviTexto-Espao15"/>
      </w:pPr>
      <w:r>
        <w:lastRenderedPageBreak/>
        <w:t xml:space="preserve">Os princípios são considerados as origens ou a base que sustenta uma lei. São fundamentos essenciais estabelecidos para a elaboração e interpretação de uma lei. Assim, no processo licitatório não seria diferente, esse processo é composto por seus princípios, os quais serão abordados a seguir. </w:t>
      </w:r>
    </w:p>
    <w:p w14:paraId="5889CB7B" w14:textId="77777777" w:rsidR="00695AEE" w:rsidRDefault="00695AEE" w:rsidP="00EB579E">
      <w:pPr>
        <w:pStyle w:val="UnidaviTexto-Espao15"/>
        <w:ind w:firstLine="0"/>
      </w:pPr>
    </w:p>
    <w:p w14:paraId="1EC7140E" w14:textId="53B70373" w:rsidR="00806D9B" w:rsidRDefault="00172036" w:rsidP="0020363A">
      <w:pPr>
        <w:pStyle w:val="UnidaviSeoTerciria"/>
      </w:pPr>
      <w:r>
        <w:t>2.4</w:t>
      </w:r>
      <w:r w:rsidR="00CB3EF6">
        <w:t>.1</w:t>
      </w:r>
      <w:r w:rsidR="00806D9B">
        <w:t xml:space="preserve"> Princípio da </w:t>
      </w:r>
      <w:r w:rsidR="0062394E">
        <w:t>l</w:t>
      </w:r>
      <w:r w:rsidR="00FA2F35">
        <w:t>egalidade</w:t>
      </w:r>
      <w:r w:rsidR="0062394E">
        <w:t xml:space="preserve"> e procedimento f</w:t>
      </w:r>
      <w:r w:rsidR="00125321">
        <w:t>ormal</w:t>
      </w:r>
    </w:p>
    <w:p w14:paraId="64AB88F9" w14:textId="20E60F29" w:rsidR="00F05863" w:rsidRDefault="00F05863" w:rsidP="0020363A">
      <w:pPr>
        <w:pStyle w:val="UnidaviTexto-Espao15"/>
      </w:pPr>
    </w:p>
    <w:p w14:paraId="34E052CA" w14:textId="61C1CF1D" w:rsidR="00FA2F35" w:rsidRDefault="0039436E" w:rsidP="0020363A">
      <w:pPr>
        <w:pStyle w:val="UnidaviTexto-Espao15"/>
      </w:pPr>
      <w:r>
        <w:t>Segundo Di Pietro (2008), o</w:t>
      </w:r>
      <w:r w:rsidR="00F72428">
        <w:t xml:space="preserve"> princípio da legalidade </w:t>
      </w:r>
      <w:r>
        <w:t>nasceu com o estado de direito, a fim de garantir os direitos individuais. Determina que</w:t>
      </w:r>
      <w:r w:rsidR="00F72428">
        <w:t xml:space="preserve"> a Administração Pública deve seguir estritamente o que está descrito na Lei de Licitações. Além disso, significa que o processo licitatório deve seguir o rito da licitação especificado na lei, conforme cada modalidade e suas particularidades.</w:t>
      </w:r>
      <w:r>
        <w:t xml:space="preserve"> </w:t>
      </w:r>
    </w:p>
    <w:p w14:paraId="63337316" w14:textId="455C0DF7" w:rsidR="00125321" w:rsidRDefault="00125321" w:rsidP="00EB579E">
      <w:pPr>
        <w:pStyle w:val="UnidaviTexto-Espao15"/>
      </w:pPr>
      <w:r>
        <w:t xml:space="preserve">O princípio do procedimento formal, </w:t>
      </w:r>
      <w:r w:rsidR="00AE6B47">
        <w:t xml:space="preserve">também descrito na </w:t>
      </w:r>
      <w:r w:rsidR="00AE6B47" w:rsidRPr="003540C7">
        <w:t xml:space="preserve">Lei </w:t>
      </w:r>
      <w:r w:rsidR="0037482F">
        <w:t xml:space="preserve">nº </w:t>
      </w:r>
      <w:r w:rsidR="00AE6B47" w:rsidRPr="003540C7">
        <w:t>8.666/93 Art. 4º § único</w:t>
      </w:r>
      <w:r w:rsidR="00AE6B47">
        <w:t xml:space="preserve"> diz “O procedimento licitatório previsto nesta lei caracteriza ato administrativo formal, seja ele praticado em qualquer esfera da Administraç</w:t>
      </w:r>
      <w:r w:rsidR="00206B74">
        <w:t xml:space="preserve">ão </w:t>
      </w:r>
      <w:r w:rsidR="00AE6B47">
        <w:t>Pública.”</w:t>
      </w:r>
      <w:r w:rsidR="00206B74">
        <w:t>. Este</w:t>
      </w:r>
      <w:r w:rsidR="00AE6B47">
        <w:t xml:space="preserve"> </w:t>
      </w:r>
      <w:r>
        <w:t>não deve ser confundido com formalismo, ou seja, exigências que são desnecessárias e até mesmo inúteis no processo licitatório.</w:t>
      </w:r>
    </w:p>
    <w:p w14:paraId="4C9B76EF" w14:textId="7CC782DA" w:rsidR="00125321" w:rsidRDefault="00125321" w:rsidP="006E5406">
      <w:pPr>
        <w:pStyle w:val="UnidaviCitaoLonga"/>
      </w:pPr>
      <w:r>
        <w:t>O princípio do procedimento formal é o que impõe a vinculação da licitação às prescrições legais que a regem em todos os seus atos e fases. Essas prescrições decorrem não só da lei, mas, também, do regulamento, do caderno de obrigações e até do próprio edital ou convite, que complementa as normas superiores, tendo em vista a licitação a que se refere. (MEIRELLES, 2006, p. 273).</w:t>
      </w:r>
    </w:p>
    <w:p w14:paraId="6CB772B1" w14:textId="03645C74" w:rsidR="00125321" w:rsidRDefault="00125321" w:rsidP="006E5406">
      <w:pPr>
        <w:pStyle w:val="UnidaviCitaoLonga"/>
        <w:spacing w:line="360" w:lineRule="auto"/>
        <w:ind w:left="0"/>
      </w:pPr>
    </w:p>
    <w:p w14:paraId="540D0D2B" w14:textId="28E4B528" w:rsidR="00125321" w:rsidRDefault="00AE6B47" w:rsidP="00EB579E">
      <w:pPr>
        <w:pStyle w:val="UnidaviTexto-Espao15"/>
      </w:pPr>
      <w:r>
        <w:t>Complementa ainda Meirelles (2006), que não se deve anular um procedimento, por motivos que sejam irrelevantes e que não causem prejuízos a administração ou aos licitantes, como por exemplo simples omissões ou irregularidades formais na documentação ou propostas.</w:t>
      </w:r>
    </w:p>
    <w:p w14:paraId="0F34AD98" w14:textId="1E824467" w:rsidR="0039436E" w:rsidRDefault="0039436E" w:rsidP="00EB579E">
      <w:pPr>
        <w:pStyle w:val="UnidaviTexto-Espao15"/>
        <w:ind w:firstLine="0"/>
      </w:pPr>
    </w:p>
    <w:p w14:paraId="1D697A4C" w14:textId="6B66DB0D" w:rsidR="0039436E" w:rsidRDefault="00172036" w:rsidP="00213346">
      <w:pPr>
        <w:pStyle w:val="UnidaviSeoTerciria"/>
      </w:pPr>
      <w:r>
        <w:t>2.4</w:t>
      </w:r>
      <w:r w:rsidR="00CB3EF6">
        <w:t>.2</w:t>
      </w:r>
      <w:r w:rsidR="001B5294">
        <w:t xml:space="preserve"> Princípio da impessoalidade e interesse p</w:t>
      </w:r>
      <w:r w:rsidR="0039436E">
        <w:t>úblico</w:t>
      </w:r>
    </w:p>
    <w:p w14:paraId="19A27559" w14:textId="2F4ABF1F" w:rsidR="00F05863" w:rsidRDefault="00F05863" w:rsidP="00213346">
      <w:pPr>
        <w:pStyle w:val="UNIDAVISEOSECUNDARIA"/>
        <w:spacing w:line="360" w:lineRule="auto"/>
      </w:pPr>
    </w:p>
    <w:p w14:paraId="6192CED8" w14:textId="1DE11032" w:rsidR="00F05863" w:rsidRDefault="0076050D" w:rsidP="0020363A">
      <w:pPr>
        <w:pStyle w:val="UnidaviTexto-Espao15"/>
      </w:pPr>
      <w:r>
        <w:t>Di Pietro (2008), diz que e</w:t>
      </w:r>
      <w:r w:rsidR="002F069A">
        <w:t>sse princípio veio com a finalidade de deixar claro que toda e qualquer atuação da Administração P</w:t>
      </w:r>
      <w:r>
        <w:t xml:space="preserve">ública, desde a elaboração da Lei, até a sua execução por concreto, </w:t>
      </w:r>
      <w:r w:rsidR="002F069A">
        <w:t>deve atender ao interesse público</w:t>
      </w:r>
      <w:r>
        <w:t>, pois é também conhecido como o princípio da finalidade.</w:t>
      </w:r>
    </w:p>
    <w:p w14:paraId="0F41CDFF" w14:textId="11E8A527" w:rsidR="00984537" w:rsidRDefault="00984537" w:rsidP="00213346">
      <w:pPr>
        <w:pStyle w:val="UnidaviTexto-Espao15"/>
        <w:ind w:firstLine="0"/>
      </w:pPr>
    </w:p>
    <w:p w14:paraId="25147228" w14:textId="0B9C7AB5" w:rsidR="00984537" w:rsidRDefault="00984537" w:rsidP="006E5406">
      <w:pPr>
        <w:pStyle w:val="UnidaviCitaoLonga"/>
      </w:pPr>
      <w:r>
        <w:t xml:space="preserve">Indica vedação a distinções fundadas em caracteres pessoais dos interessados. Ao menos, os caracteres pessoais devem refletir diferenças efetivas e concretas (que </w:t>
      </w:r>
      <w:r>
        <w:lastRenderedPageBreak/>
        <w:t>sejam relevantes para os fins da licitação). Exclui o subjetivismo do agente administrativo. A decisão será impessoal quando derivar racionalmente de fatores alheios à vontade psicológica do julgador. (MARÇAL, 2008, p. 351).</w:t>
      </w:r>
    </w:p>
    <w:p w14:paraId="61B24F17" w14:textId="05E6D437" w:rsidR="00FC076C" w:rsidRDefault="00FC076C" w:rsidP="006E5406">
      <w:pPr>
        <w:pStyle w:val="UnidaviCitaoLonga"/>
        <w:spacing w:line="360" w:lineRule="auto"/>
        <w:ind w:left="0"/>
      </w:pPr>
    </w:p>
    <w:p w14:paraId="2B595BCB" w14:textId="05296B45" w:rsidR="00FE5379" w:rsidRDefault="00FC076C" w:rsidP="00D70856">
      <w:pPr>
        <w:pStyle w:val="UnidaviTexto-Espao15"/>
      </w:pPr>
      <w:r>
        <w:t xml:space="preserve">Ainda conforme Di Pietro (2008, p. 339), “[...] todos os licitantes devem ser tratados igualmente, devendo a administração, em suas decisões, pautar-se por critérios objetivos, sem levar em consideração as </w:t>
      </w:r>
      <w:r w:rsidR="00B2550F">
        <w:t>condi</w:t>
      </w:r>
      <w:r>
        <w:t xml:space="preserve">ções pessoais do licitante ou as </w:t>
      </w:r>
      <w:r w:rsidR="00D70856">
        <w:t>vantagens por ele oferecidas.”.</w:t>
      </w:r>
    </w:p>
    <w:p w14:paraId="159F8D7B" w14:textId="6F63B279" w:rsidR="00D70856" w:rsidRDefault="00D70856" w:rsidP="00AF4746">
      <w:pPr>
        <w:pStyle w:val="UnidaviTexto-Espao15"/>
        <w:ind w:firstLine="0"/>
      </w:pPr>
    </w:p>
    <w:p w14:paraId="0FE08590" w14:textId="0E4B89A2" w:rsidR="0076050D" w:rsidRDefault="00172036" w:rsidP="0020363A">
      <w:pPr>
        <w:pStyle w:val="UnidaviSeoTerciria"/>
      </w:pPr>
      <w:r>
        <w:t>2.4</w:t>
      </w:r>
      <w:r w:rsidR="00CB3EF6">
        <w:t>.3</w:t>
      </w:r>
      <w:r w:rsidR="0076050D">
        <w:t xml:space="preserve"> Princípio</w:t>
      </w:r>
      <w:r w:rsidR="008346F8">
        <w:t>s</w:t>
      </w:r>
      <w:r w:rsidR="001B5294">
        <w:t xml:space="preserve"> da m</w:t>
      </w:r>
      <w:r w:rsidR="0076050D">
        <w:t xml:space="preserve">oralidade e </w:t>
      </w:r>
      <w:r w:rsidR="00B2550F">
        <w:t xml:space="preserve">da </w:t>
      </w:r>
      <w:r w:rsidR="001B5294">
        <w:t>p</w:t>
      </w:r>
      <w:r w:rsidR="0076050D">
        <w:t>robidade</w:t>
      </w:r>
    </w:p>
    <w:p w14:paraId="40DBEB7B" w14:textId="77777777" w:rsidR="00B2550F" w:rsidRDefault="00B2550F" w:rsidP="0020363A">
      <w:pPr>
        <w:pStyle w:val="UnidaviSeoTerciria"/>
      </w:pPr>
    </w:p>
    <w:p w14:paraId="51F7FC72" w14:textId="2BF6708E" w:rsidR="00B2550F" w:rsidRDefault="00B2550F" w:rsidP="0020363A">
      <w:pPr>
        <w:pStyle w:val="UnidaviTexto-Espao15"/>
      </w:pPr>
      <w:r>
        <w:t>Marçal (2007, p. 352)</w:t>
      </w:r>
      <w:r w:rsidR="00FC52C2">
        <w:t>, afirma que “A licitação deve ser norteada pela honestidade. Os princípios aplicam-se tanto à conduta do agente da Administração Pública como à dos próprios licitantes. A moralidade compreende também a boa-fé.”.</w:t>
      </w:r>
    </w:p>
    <w:p w14:paraId="2848C31E" w14:textId="35690E5F" w:rsidR="00FC52C2" w:rsidRDefault="00FC52C2" w:rsidP="0020363A">
      <w:pPr>
        <w:pStyle w:val="UnidaviTexto-Espao15"/>
      </w:pPr>
      <w:r>
        <w:t xml:space="preserve">Segundo Di Pietro (2008), é exigido da Administração Pública, um comportamento </w:t>
      </w:r>
      <w:r w:rsidR="006C1BD8">
        <w:t xml:space="preserve">totalmente </w:t>
      </w:r>
      <w:r>
        <w:t>lícito,</w:t>
      </w:r>
      <w:r w:rsidR="006C1BD8">
        <w:t xml:space="preserve"> que cumpra o que é permitido pela lei, que seja </w:t>
      </w:r>
      <w:r>
        <w:t>concordante com a moral, os bons costumes, as regras de boa administração, os princípios de justiça e equidade e a ideia de comum honestidade.</w:t>
      </w:r>
      <w:r w:rsidR="006C1BD8">
        <w:t xml:space="preserve"> Pois, se tais regras não forem cumpridas, os responsáveis estarão sujeitos à</w:t>
      </w:r>
      <w:r w:rsidR="00330A23">
        <w:t>s</w:t>
      </w:r>
      <w:r w:rsidR="006C1BD8">
        <w:t xml:space="preserve"> punições, estabelecidos na Constituição Federal e na Lei </w:t>
      </w:r>
      <w:r w:rsidR="0037482F">
        <w:t xml:space="preserve">nº </w:t>
      </w:r>
      <w:r w:rsidR="006C1BD8">
        <w:t xml:space="preserve">8.429/92 </w:t>
      </w:r>
      <w:r w:rsidR="00330A23">
        <w:t>Lei da Improbidade Administrativa.</w:t>
      </w:r>
    </w:p>
    <w:p w14:paraId="1A5917E6" w14:textId="77777777" w:rsidR="00CB3A6F" w:rsidRDefault="00CB3A6F" w:rsidP="00CB3A6F">
      <w:pPr>
        <w:pStyle w:val="UnidaviTexto-Espao15"/>
        <w:spacing w:line="240" w:lineRule="auto"/>
      </w:pPr>
    </w:p>
    <w:p w14:paraId="4BA9769D" w14:textId="5D6F6C4B" w:rsidR="001460E7" w:rsidRDefault="003540C7" w:rsidP="006E5406">
      <w:pPr>
        <w:pStyle w:val="UnidaviCitaoLonga"/>
      </w:pPr>
      <w:r w:rsidRPr="003540C7">
        <w:t>“</w:t>
      </w:r>
      <w:r w:rsidR="001460E7" w:rsidRPr="003540C7">
        <w:t>A probidade administrativa é dever de todo administrador público, mas a lei</w:t>
      </w:r>
      <w:r w:rsidR="0073036F" w:rsidRPr="003540C7">
        <w:t xml:space="preserve"> a incluiu dentre os princípios específicos da licitação, naturalmente como uma advertência às autoridades que a promovem ou a julgam. A probidade na Administração</w:t>
      </w:r>
      <w:r w:rsidR="001460E7" w:rsidRPr="003540C7">
        <w:t xml:space="preserve"> </w:t>
      </w:r>
      <w:r w:rsidR="0073036F" w:rsidRPr="003540C7">
        <w:t xml:space="preserve">é mandamento constitucional </w:t>
      </w:r>
      <w:r w:rsidR="00DB072D" w:rsidRPr="003540C7">
        <w:t>[...]</w:t>
      </w:r>
      <w:r w:rsidR="00D70856">
        <w:t>.</w:t>
      </w:r>
      <w:r w:rsidRPr="003540C7">
        <w:t>”</w:t>
      </w:r>
      <w:r w:rsidR="00DB072D" w:rsidRPr="003540C7">
        <w:t>.</w:t>
      </w:r>
      <w:r w:rsidR="0073036F" w:rsidRPr="003540C7">
        <w:t xml:space="preserve"> (MEIRELLES, 2006, p. 276).</w:t>
      </w:r>
    </w:p>
    <w:p w14:paraId="45988328" w14:textId="32624686" w:rsidR="0073036F" w:rsidRDefault="0073036F" w:rsidP="00CB3A6F">
      <w:pPr>
        <w:pStyle w:val="UnidaviCitaoLonga"/>
        <w:spacing w:line="360" w:lineRule="auto"/>
        <w:ind w:left="0"/>
      </w:pPr>
    </w:p>
    <w:p w14:paraId="23193085" w14:textId="63B6E50C" w:rsidR="0073036F" w:rsidRDefault="0073036F" w:rsidP="00213346">
      <w:pPr>
        <w:pStyle w:val="UnidaviTexto-Espao15"/>
      </w:pPr>
      <w:r>
        <w:t xml:space="preserve">Conforme citado no texto acima, a </w:t>
      </w:r>
      <w:r w:rsidRPr="003540C7">
        <w:t>Con</w:t>
      </w:r>
      <w:r w:rsidR="001F28C8" w:rsidRPr="003540C7">
        <w:t>stituição Federal 1988, em seu a</w:t>
      </w:r>
      <w:r w:rsidRPr="003540C7">
        <w:t>rt</w:t>
      </w:r>
      <w:r w:rsidR="001F28C8" w:rsidRPr="003540C7">
        <w:t>.</w:t>
      </w:r>
      <w:r w:rsidRPr="003540C7">
        <w:t xml:space="preserve"> 37, § 4º</w:t>
      </w:r>
      <w:r>
        <w:t xml:space="preserve"> menciona “Os atos de improbidade administrativa importarão a suspensão dos direitos políticos, a perda da função pública, a indisponibilidade de </w:t>
      </w:r>
      <w:r w:rsidR="00DB072D">
        <w:t>bens e o ressarcimento ao erário, na forma e gradação previstas em lei, sem prejuízo da ação penal cabível.”.</w:t>
      </w:r>
    </w:p>
    <w:p w14:paraId="5BBEC8CA" w14:textId="752804B3" w:rsidR="00F92383" w:rsidRDefault="00F92383" w:rsidP="0020363A">
      <w:pPr>
        <w:pStyle w:val="UnidaviSeoTerciria"/>
      </w:pPr>
    </w:p>
    <w:p w14:paraId="5909236A" w14:textId="6F6DA0CD" w:rsidR="00330A23" w:rsidRDefault="00172036" w:rsidP="0020363A">
      <w:pPr>
        <w:pStyle w:val="UnidaviSeoTerciria"/>
      </w:pPr>
      <w:r>
        <w:t>2.4</w:t>
      </w:r>
      <w:r w:rsidR="00CB3EF6">
        <w:t>.4</w:t>
      </w:r>
      <w:r w:rsidR="001B5294">
        <w:t xml:space="preserve"> Princípio da igualdade e c</w:t>
      </w:r>
      <w:r w:rsidR="00330A23">
        <w:t>ompetitividade</w:t>
      </w:r>
    </w:p>
    <w:p w14:paraId="0404F4C8" w14:textId="7D36AF3B" w:rsidR="003F365E" w:rsidRDefault="003F365E" w:rsidP="0020363A">
      <w:pPr>
        <w:pStyle w:val="UnidaviSeoTerciria"/>
      </w:pPr>
    </w:p>
    <w:p w14:paraId="35ED5E46" w14:textId="37453A4A" w:rsidR="003F365E" w:rsidRDefault="003F365E" w:rsidP="0020363A">
      <w:pPr>
        <w:pStyle w:val="UnidaviTexto-Espao15"/>
      </w:pPr>
      <w:r>
        <w:t>Meireles (2006, p. 275) afirma que “A igualdade entre os licitantes é princípio impeditivo da discriminação entre os licitantes do certame, quer através de cláusulas que, no edital ou convite, favoreçam uns em detrimento de outros, quer mediante julgamento faccioso, que desiguale os iguais ou iguale os desiguais.”.</w:t>
      </w:r>
    </w:p>
    <w:p w14:paraId="75DA02B8" w14:textId="391A0C50" w:rsidR="003F365E" w:rsidRDefault="00AD136A" w:rsidP="0020363A">
      <w:pPr>
        <w:pStyle w:val="UnidaviTexto-Espao15"/>
      </w:pPr>
      <w:r>
        <w:lastRenderedPageBreak/>
        <w:t xml:space="preserve">Conforme Di Pietro </w:t>
      </w:r>
      <w:r w:rsidR="00FB2BBA">
        <w:t>(2008), o princípio da igualde é considerado um dos alicerces do processo licitatório, visto que a licitação objetiva além de dar a Administração Pública, a oportunidade de optar pela proposta mais vantajosa, proporcionar igualdade de direitos aos participantes. O princípio da igualdade, também descrito no artigo 37, inciso XXI da Constituição Federal, descreve que a mesma não admite a determinação de condições de preferência a favor ou detrimento dos licitantes.</w:t>
      </w:r>
    </w:p>
    <w:p w14:paraId="5C28057C" w14:textId="77777777" w:rsidR="0088157D" w:rsidRDefault="007B5697" w:rsidP="0020363A">
      <w:pPr>
        <w:pStyle w:val="UnidaviTexto-Espao15"/>
      </w:pPr>
      <w:r>
        <w:t xml:space="preserve">Ao que se refere ao princípio </w:t>
      </w:r>
      <w:r w:rsidR="0088157D">
        <w:t>da competitividade</w:t>
      </w:r>
      <w:r>
        <w:t>:</w:t>
      </w:r>
    </w:p>
    <w:p w14:paraId="375720B2" w14:textId="7278C937" w:rsidR="007B5697" w:rsidRDefault="007B5697" w:rsidP="0020363A">
      <w:pPr>
        <w:pStyle w:val="UnidaviTexto-Espao15"/>
        <w:ind w:firstLine="0"/>
      </w:pPr>
    </w:p>
    <w:p w14:paraId="5ADA453B" w14:textId="25704306" w:rsidR="007B5697" w:rsidRDefault="007B5697" w:rsidP="006E5406">
      <w:pPr>
        <w:pStyle w:val="UnidaviCitaoLonga"/>
      </w:pPr>
      <w:r>
        <w:t>§ 1º É vedado aos agentes públicos:</w:t>
      </w:r>
    </w:p>
    <w:p w14:paraId="4ABE737B" w14:textId="31BAFE2C" w:rsidR="007B5697" w:rsidRDefault="007B5697" w:rsidP="006E5406">
      <w:pPr>
        <w:pStyle w:val="UnidaviCitaoLonga"/>
      </w:pPr>
      <w:r>
        <w:t>I – Admitir, prever, incluir ou tolerar, nos atos de convocação, cláusulas ou condições que comprometam, restrinjam ou frustrem o seu caráter competitivo, inclusive nos casos de sociedades cooperativas, e estabeleçam preferências ou distinções em razão da naturalidade, da sede ou domicílio dos licitantes</w:t>
      </w:r>
      <w:r w:rsidR="0088157D">
        <w:t xml:space="preserve"> ou de qualquer outra circunstância impertinente ou irrelevante para o esp</w:t>
      </w:r>
      <w:r w:rsidR="001F28C8">
        <w:t>ecífico objeto do contrato; (LEI</w:t>
      </w:r>
      <w:r w:rsidR="0088157D">
        <w:t xml:space="preserve"> 8.666/93, Art. 3º, inciso I)</w:t>
      </w:r>
    </w:p>
    <w:p w14:paraId="09D33BE9" w14:textId="62A1CD21" w:rsidR="0088157D" w:rsidRPr="00AD136A" w:rsidRDefault="0088157D" w:rsidP="006E5406">
      <w:pPr>
        <w:pStyle w:val="UnidaviCitaoLonga"/>
        <w:spacing w:line="360" w:lineRule="auto"/>
        <w:ind w:left="0"/>
      </w:pPr>
    </w:p>
    <w:p w14:paraId="3F483BFD" w14:textId="19DD1ADD" w:rsidR="00B94392" w:rsidRDefault="0088157D" w:rsidP="00213346">
      <w:pPr>
        <w:pStyle w:val="UnidaviTexto-Espao15"/>
      </w:pPr>
      <w:r>
        <w:t>C</w:t>
      </w:r>
      <w:r w:rsidR="00AD7562">
        <w:t>om base n</w:t>
      </w:r>
      <w:r>
        <w:t>o texto da L</w:t>
      </w:r>
      <w:r w:rsidR="00AD7562">
        <w:t>ei descrito acima, pode-se concluir</w:t>
      </w:r>
      <w:r>
        <w:t xml:space="preserve"> que ao seguir tais regras, consequentemente a Administração Pública, estará </w:t>
      </w:r>
      <w:r w:rsidR="00AD7562">
        <w:t>assegurando uma maior participação dos concorrentes, pelo fato de não ter restrições indevidas e igualdade entre todos.</w:t>
      </w:r>
    </w:p>
    <w:p w14:paraId="00ED3735" w14:textId="03384EC6" w:rsidR="00CB3EF6" w:rsidRDefault="00CB3EF6" w:rsidP="00213346">
      <w:pPr>
        <w:pStyle w:val="UnidaviSeoTerciria"/>
      </w:pPr>
    </w:p>
    <w:p w14:paraId="760C4D79" w14:textId="4C5C334C" w:rsidR="00330A23" w:rsidRDefault="00172036" w:rsidP="0020363A">
      <w:pPr>
        <w:pStyle w:val="UnidaviSeoTerciria"/>
      </w:pPr>
      <w:r>
        <w:t>2.4</w:t>
      </w:r>
      <w:r w:rsidR="00CB3EF6">
        <w:t>.5</w:t>
      </w:r>
      <w:r w:rsidR="001B5294">
        <w:t xml:space="preserve"> Princípios da p</w:t>
      </w:r>
      <w:r w:rsidR="00B94392">
        <w:t>ubl</w:t>
      </w:r>
      <w:r w:rsidR="001B5294">
        <w:t>icidade, transparência e s</w:t>
      </w:r>
      <w:r w:rsidR="00DB072D">
        <w:t>igilo</w:t>
      </w:r>
      <w:r w:rsidR="001B5294">
        <w:t xml:space="preserve"> das p</w:t>
      </w:r>
      <w:r w:rsidR="00B94392">
        <w:t>ropostas</w:t>
      </w:r>
    </w:p>
    <w:p w14:paraId="15DA74BF" w14:textId="21980B53" w:rsidR="00AD7562" w:rsidRDefault="00AD7562" w:rsidP="0020363A">
      <w:pPr>
        <w:pStyle w:val="UnidaviSeoTerciria"/>
      </w:pPr>
    </w:p>
    <w:p w14:paraId="60F728D8" w14:textId="5F1BEE82" w:rsidR="00AD7562" w:rsidRDefault="00AD7562" w:rsidP="0020363A">
      <w:pPr>
        <w:pStyle w:val="UnidaviTexto-Espao15"/>
      </w:pPr>
      <w:r>
        <w:t xml:space="preserve">De acordo com a </w:t>
      </w:r>
      <w:r w:rsidRPr="003540C7">
        <w:t xml:space="preserve">Lei </w:t>
      </w:r>
      <w:r w:rsidR="0037482F">
        <w:t xml:space="preserve">nº </w:t>
      </w:r>
      <w:r w:rsidRPr="003540C7">
        <w:t>8.666</w:t>
      </w:r>
      <w:r w:rsidR="00103277" w:rsidRPr="003540C7">
        <w:t>/93, A</w:t>
      </w:r>
      <w:r w:rsidRPr="003540C7">
        <w:t>rt 3º e § 3º,</w:t>
      </w:r>
      <w:r>
        <w:t xml:space="preserve"> o princípio da publicidade </w:t>
      </w:r>
      <w:r w:rsidR="00BE214D">
        <w:t>diz que: “A licitação não será sigilosa, sendo públicos e acessíveis ao público os atos de seu procedimento, salvo quanto ao conteúdo das propostas, até a respectiva abertura.”.</w:t>
      </w:r>
    </w:p>
    <w:p w14:paraId="4FDB8F88" w14:textId="77777777" w:rsidR="00BE214D" w:rsidRDefault="00BE214D" w:rsidP="0020363A">
      <w:pPr>
        <w:pStyle w:val="UnidaviTexto-Espao15"/>
      </w:pPr>
    </w:p>
    <w:p w14:paraId="68DA90D7" w14:textId="02518014" w:rsidR="00BE214D" w:rsidRDefault="00BE214D" w:rsidP="006E5406">
      <w:pPr>
        <w:pStyle w:val="UnidaviCitaoLonga"/>
      </w:pPr>
      <w:r>
        <w:t>A publicidade dos atos da licitação é o princípio que abrange desde os avisos de sua abertura até o conhecimento do edital e seus anexos, o exame da documentação e das propostas pelos interessados e o fornecimento de certidões de quaisquer peças, pareceres ou decisões com ela relacionadas. É em razão desse princípio que se impõe a abertura dos envelopes da documentação e proposta em público e a publicação oficial das decisões dos órgãos julgadores e do respectivo contrato, ainda que resumidamente. (MEIRELLES, 2006, p. 274).</w:t>
      </w:r>
    </w:p>
    <w:p w14:paraId="05E8DCF7" w14:textId="243D82D8" w:rsidR="00A63129" w:rsidRDefault="00A63129" w:rsidP="006E5406">
      <w:pPr>
        <w:pStyle w:val="UnidaviCitaoLonga"/>
        <w:spacing w:line="360" w:lineRule="auto"/>
        <w:ind w:left="0"/>
      </w:pPr>
    </w:p>
    <w:p w14:paraId="508308A8" w14:textId="77777777" w:rsidR="00AD2B44" w:rsidRDefault="00A63129" w:rsidP="0020363A">
      <w:pPr>
        <w:pStyle w:val="UnidaviTexto-Espao15"/>
      </w:pPr>
      <w:r>
        <w:t xml:space="preserve">Dito isso, entende-se que o princípio da publicidade, diz que a Administração Pública, têm o dever de divulgar as informações de uma forma que qualquer interessado possa ter acesso e a chance de participar ou até mesmo fiscalizar o processo licitatório. </w:t>
      </w:r>
    </w:p>
    <w:p w14:paraId="7EDB6582" w14:textId="28CE6B06" w:rsidR="00A63129" w:rsidRDefault="00A63129" w:rsidP="0020363A">
      <w:pPr>
        <w:pStyle w:val="UnidaviTexto-Espao15"/>
      </w:pPr>
      <w:r>
        <w:t xml:space="preserve">Nesse contexto, </w:t>
      </w:r>
      <w:r w:rsidR="00AD2B44">
        <w:t xml:space="preserve">Blanchet (2007), descreve que </w:t>
      </w:r>
      <w:r>
        <w:t>o princípio da publicidade e o princípio da transparência</w:t>
      </w:r>
      <w:r w:rsidR="00AD2B44">
        <w:t xml:space="preserve">, muitas vezes são </w:t>
      </w:r>
      <w:r>
        <w:t>considerados sinônimos. Por</w:t>
      </w:r>
      <w:r w:rsidR="00AD2B44">
        <w:t>ém, têm</w:t>
      </w:r>
      <w:r>
        <w:t xml:space="preserve"> sentidos um pouco diferentes, visto que a transparência quer dizer que a Administração Pública, deve </w:t>
      </w:r>
      <w:r>
        <w:lastRenderedPageBreak/>
        <w:t>divulgar as informações referente a licitação, de forma compreensível, clara e que possa ser entendida facilmente pela população.</w:t>
      </w:r>
    </w:p>
    <w:p w14:paraId="11EC8C84" w14:textId="76526291" w:rsidR="00AD2B44" w:rsidRDefault="00BF3C04" w:rsidP="0020363A">
      <w:pPr>
        <w:pStyle w:val="UnidaviTexto-Espao15"/>
      </w:pPr>
      <w:r>
        <w:t>A respeito do sigilo das propostas, Meirelles (2006), conclui que é certamente ou consequentemente a igualdade entre</w:t>
      </w:r>
      <w:r w:rsidR="00103277">
        <w:t xml:space="preserve"> os licitantes, uma vez que, se </w:t>
      </w:r>
      <w:r>
        <w:t>um dos participantes soubesse com antecedência, a proposta de seu concorrente, o mesmo estaria em vantagem</w:t>
      </w:r>
      <w:r w:rsidR="00103277">
        <w:t xml:space="preserve"> e assim não estariam em iguais condições de disputa. Por isso, é de extrema importância, manter o sigilo das propostas até a data de abertura dos envelopes.</w:t>
      </w:r>
    </w:p>
    <w:p w14:paraId="146E5FEB" w14:textId="33796391" w:rsidR="00AD7562" w:rsidRDefault="00103277" w:rsidP="0020363A">
      <w:pPr>
        <w:pStyle w:val="UnidaviTexto-Espao15"/>
      </w:pPr>
      <w:r>
        <w:t xml:space="preserve">Além disso, o descumprimento dessa regra, gera a anulação do processo e constitui ato ilícito penal conforme descrito na Lei </w:t>
      </w:r>
      <w:r w:rsidR="0037482F">
        <w:t xml:space="preserve">nº </w:t>
      </w:r>
      <w:r>
        <w:t>8.666/93, Art 94: “Devassar o sigilo de proposta apresentada em procedimento licitatório, ou proporcioná-lo a terceiro o ensejo de devassa-lo: Pena – detenção, de 2 (doi</w:t>
      </w:r>
      <w:r w:rsidR="0020363A">
        <w:t xml:space="preserve">s) a 3 (três) anos, e multa.”. </w:t>
      </w:r>
    </w:p>
    <w:p w14:paraId="4105AD9E" w14:textId="378DB1FE" w:rsidR="00B94392" w:rsidRDefault="00B94392" w:rsidP="0020363A">
      <w:pPr>
        <w:pStyle w:val="UnidaviSeoTerciria"/>
      </w:pPr>
    </w:p>
    <w:p w14:paraId="186CC8DC" w14:textId="71898935" w:rsidR="00B94392" w:rsidRDefault="00172036" w:rsidP="0020363A">
      <w:pPr>
        <w:pStyle w:val="UnidaviSeoTerciria"/>
      </w:pPr>
      <w:r>
        <w:t>2.4</w:t>
      </w:r>
      <w:r w:rsidR="00CB3EF6">
        <w:t>.6</w:t>
      </w:r>
      <w:r w:rsidR="00B94392">
        <w:t xml:space="preserve"> P</w:t>
      </w:r>
      <w:r w:rsidR="00206B74">
        <w:t>ri</w:t>
      </w:r>
      <w:r w:rsidR="001B5294">
        <w:t>ncípio da v</w:t>
      </w:r>
      <w:r w:rsidR="00206B74">
        <w:t xml:space="preserve">inculação ao </w:t>
      </w:r>
      <w:r w:rsidR="001B5294">
        <w:t>e</w:t>
      </w:r>
      <w:r w:rsidR="005E10FA">
        <w:t>dital</w:t>
      </w:r>
    </w:p>
    <w:p w14:paraId="5CE53CCA" w14:textId="09BA88CF" w:rsidR="003A0B51" w:rsidRDefault="003A0B51" w:rsidP="0020363A">
      <w:pPr>
        <w:pStyle w:val="UnidaviSeoTerciria"/>
      </w:pPr>
    </w:p>
    <w:p w14:paraId="0A67E839" w14:textId="5EE727B3" w:rsidR="00BD5D06" w:rsidRDefault="00BD5D06" w:rsidP="0020363A">
      <w:pPr>
        <w:pStyle w:val="UnidaviTexto-Espao15"/>
      </w:pPr>
      <w:r>
        <w:t>Meirelles (2006), afirma que a vinculação ao edital é o princípio básico de toda licitação, pois seria incompreensível, se a Administração Pública exigisse no edital as regras de participação e no andamento do processo, descumprisse as regras estabelecidas ou aceitasse documentação e propostas em desagrado com as exigi</w:t>
      </w:r>
      <w:r w:rsidR="001F28C8">
        <w:t xml:space="preserve">das no edital. A Lei </w:t>
      </w:r>
      <w:r w:rsidR="0037482F">
        <w:t xml:space="preserve">nº </w:t>
      </w:r>
      <w:r w:rsidR="001F28C8">
        <w:t>8.666/93, a</w:t>
      </w:r>
      <w:r>
        <w:t>rt</w:t>
      </w:r>
      <w:r w:rsidR="001F28C8">
        <w:t>.</w:t>
      </w:r>
      <w:r>
        <w:t xml:space="preserve"> 41 </w:t>
      </w:r>
      <w:r w:rsidRPr="00B64CBE">
        <w:t xml:space="preserve">descreve </w:t>
      </w:r>
      <w:r w:rsidRPr="003F488A">
        <w:t>“A Administração não pode descumprir as normas e condições do edital, ao qual se acha estritamente vinculada.”.</w:t>
      </w:r>
      <w:r>
        <w:t xml:space="preserve"> </w:t>
      </w:r>
      <w:r w:rsidR="00B64CBE">
        <w:t>Uma vez fixadas as regras no edital, as mesmas tornam-se inalteráveis para aquela licitação, sendo necessário invalidá-la e reabri-la, em caso de necessidade de alteração.</w:t>
      </w:r>
    </w:p>
    <w:p w14:paraId="2596E5D9" w14:textId="77777777" w:rsidR="00227001" w:rsidRDefault="00B64CBE" w:rsidP="0020363A">
      <w:pPr>
        <w:pStyle w:val="UnidaviTexto-Espao15"/>
      </w:pPr>
      <w:r>
        <w:t xml:space="preserve">Segundo Di Pietro </w:t>
      </w:r>
      <w:r w:rsidRPr="00B64CBE">
        <w:t>(</w:t>
      </w:r>
      <w:r>
        <w:t>2008), o princípio da vinculação ao edital, estabelece regras tanto para a Administração Pública, como estende-se também para os licitantes, pois estes precisam atender aos requisitos solicitados no instrumento convocatório</w:t>
      </w:r>
      <w:r w:rsidR="00227001">
        <w:t>,</w:t>
      </w:r>
      <w:r>
        <w:t xml:space="preserve"> o edital ou a carta convite, correndo o risco de serem considerados inabilitados a participar do processo licitatório, caso apresentem documentação divergente ao solicitado.</w:t>
      </w:r>
      <w:r w:rsidR="00227001">
        <w:t xml:space="preserve"> </w:t>
      </w:r>
    </w:p>
    <w:p w14:paraId="0B350970" w14:textId="251F411D" w:rsidR="00B94392" w:rsidRDefault="001F28C8" w:rsidP="00AF4746">
      <w:pPr>
        <w:pStyle w:val="UnidaviTexto-Espao15"/>
      </w:pPr>
      <w:r>
        <w:t>Descreve o a</w:t>
      </w:r>
      <w:r w:rsidR="00227001">
        <w:t>rt</w:t>
      </w:r>
      <w:r>
        <w:t>.</w:t>
      </w:r>
      <w:r w:rsidR="00227001">
        <w:t xml:space="preserve"> 43, inciso II da Lei </w:t>
      </w:r>
      <w:r w:rsidR="0037482F">
        <w:t xml:space="preserve">nº </w:t>
      </w:r>
      <w:r w:rsidR="00227001">
        <w:t>8.666/93 “A licitação será processada e julgada com observância dos seguintes procedimentos: II – devolução dos envelopes fechados aos concorrentes inabilitados, contendo as respectivas propostas, desde que não tenha havido recurso ou após sua denegação.”.</w:t>
      </w:r>
    </w:p>
    <w:p w14:paraId="3B11B227" w14:textId="77777777" w:rsidR="00AF6FFA" w:rsidRDefault="00AF6FFA" w:rsidP="00AF4746">
      <w:pPr>
        <w:pStyle w:val="UnidaviTexto-Espao15"/>
      </w:pPr>
    </w:p>
    <w:p w14:paraId="51C95BEC" w14:textId="77777777" w:rsidR="00B80A5B" w:rsidRDefault="00B80A5B">
      <w:pPr>
        <w:spacing w:after="160" w:line="259" w:lineRule="auto"/>
        <w:rPr>
          <w:rFonts w:eastAsia="Times New Roman"/>
          <w:b/>
          <w:lang w:eastAsia="pt-BR"/>
        </w:rPr>
      </w:pPr>
      <w:r>
        <w:br w:type="page"/>
      </w:r>
    </w:p>
    <w:p w14:paraId="5B5D7F3C" w14:textId="3837DA95" w:rsidR="00B94392" w:rsidRDefault="00172036" w:rsidP="00213346">
      <w:pPr>
        <w:pStyle w:val="UnidaviSeoTerciria"/>
      </w:pPr>
      <w:r>
        <w:lastRenderedPageBreak/>
        <w:t>2.4</w:t>
      </w:r>
      <w:r w:rsidR="00CB3EF6">
        <w:t>.7</w:t>
      </w:r>
      <w:r w:rsidR="001B5294">
        <w:t xml:space="preserve"> Princípio do julgamento o</w:t>
      </w:r>
      <w:r w:rsidR="00B94392">
        <w:t>bjetivo</w:t>
      </w:r>
    </w:p>
    <w:p w14:paraId="01F03D29" w14:textId="3F5274F3" w:rsidR="00EC5433" w:rsidRDefault="00EC5433" w:rsidP="00213346">
      <w:pPr>
        <w:pStyle w:val="UnidaviSeoTerciria"/>
      </w:pPr>
    </w:p>
    <w:p w14:paraId="595D687D" w14:textId="541A1CF7" w:rsidR="00EC5433" w:rsidRDefault="001F28C8" w:rsidP="0020363A">
      <w:pPr>
        <w:pStyle w:val="UnidaviTexto-Espao15"/>
      </w:pPr>
      <w:r>
        <w:t xml:space="preserve">A Lei </w:t>
      </w:r>
      <w:r w:rsidR="0037482F">
        <w:t xml:space="preserve">nº </w:t>
      </w:r>
      <w:r>
        <w:t>8.66/93, a</w:t>
      </w:r>
      <w:r w:rsidR="00EC5433">
        <w:t xml:space="preserve">rt. 44 diz </w:t>
      </w:r>
      <w:r w:rsidR="00EC5433" w:rsidRPr="003F488A">
        <w:t>“No julgamento das propostas, a comissão levará em consideração os critérios objetivos definidos no edital ou convite, os quais não devem contrariar as normas e princípios estabelecidos por esta lei.”. E em seguida completa em seu Art. 45 “O julgamento das propostas será objetivo</w:t>
      </w:r>
      <w:r w:rsidR="00F8000B" w:rsidRPr="003F488A">
        <w:t>, devendo a comissão de licitação ou responsável pelo convite realizá-lo em conformidade com os tipos de licitação, os critérios previamente estabelecidos no ato convocatório, [...].”.</w:t>
      </w:r>
    </w:p>
    <w:p w14:paraId="0AE6BFDA" w14:textId="77777777" w:rsidR="003C4FBB" w:rsidRDefault="003C4FBB" w:rsidP="0020363A">
      <w:pPr>
        <w:pStyle w:val="UnidaviTexto-Espao15"/>
      </w:pPr>
    </w:p>
    <w:p w14:paraId="667C04A4" w14:textId="151E354B" w:rsidR="00F8000B" w:rsidRDefault="00F8000B" w:rsidP="006E5406">
      <w:pPr>
        <w:pStyle w:val="UnidaviCitaoLonga"/>
      </w:pPr>
      <w:r>
        <w:t>Julgamento objetivo é o que se baseia no critério indicado no edital e nos termos específicos das propostas. É princípio de toda licitação que seu julgamento se apoie em fatores concretos pedidos pela Administração, em confronto com o ofertado pelos preponentes dentro do permitido no edital ou convite. Visa</w:t>
      </w:r>
      <w:r w:rsidR="003C4FBB">
        <w:t xml:space="preserve"> a afastar o discricionar</w:t>
      </w:r>
      <w:r>
        <w:t xml:space="preserve">ismo na escolha das propostas, obrigando os julgadores a aterem-se ao critério pré-fixado pela Administração, com que se reduz e se delimita a margem de valoração subjetiva, </w:t>
      </w:r>
      <w:r w:rsidR="003C4FBB">
        <w:t>sempre presente em qualquer julgamento. (MEIRELLES, 2006, p. 276)</w:t>
      </w:r>
    </w:p>
    <w:p w14:paraId="49D25D23" w14:textId="2E4CC16D" w:rsidR="003C4FBB" w:rsidRDefault="003C4FBB" w:rsidP="006E5406">
      <w:pPr>
        <w:pStyle w:val="UnidaviCitaoLonga"/>
        <w:spacing w:line="360" w:lineRule="auto"/>
        <w:ind w:left="0"/>
      </w:pPr>
    </w:p>
    <w:p w14:paraId="7EED322E" w14:textId="05B7BC3A" w:rsidR="003C4FBB" w:rsidRDefault="003C4FBB" w:rsidP="0020363A">
      <w:pPr>
        <w:pStyle w:val="UnidaviTexto-Espao15"/>
      </w:pPr>
      <w:r>
        <w:t>Seguindo esse princípio, a Administração Pública, deve estudar de forma objetiva as propostas, seguindo os critérios de julgamento definidos no edital, sem a interferência de escolhas ou preferencias dos julgadores das propostas.</w:t>
      </w:r>
    </w:p>
    <w:p w14:paraId="56C1DA78" w14:textId="0B06634A" w:rsidR="003C4FBB" w:rsidRDefault="003C4FBB" w:rsidP="0020363A">
      <w:pPr>
        <w:pStyle w:val="UnidaviTexto-Espao15"/>
        <w:ind w:firstLine="0"/>
      </w:pPr>
    </w:p>
    <w:p w14:paraId="5A658DFA" w14:textId="02841985" w:rsidR="00172036" w:rsidRDefault="001B5294" w:rsidP="0020363A">
      <w:pPr>
        <w:pStyle w:val="UnidaviSeoTerciria"/>
      </w:pPr>
      <w:r>
        <w:t>2.4.8 Princípio da adjudicação c</w:t>
      </w:r>
      <w:r w:rsidR="00172036">
        <w:t>ompulsória</w:t>
      </w:r>
    </w:p>
    <w:p w14:paraId="1E254EA6" w14:textId="197EDB9D" w:rsidR="00172036" w:rsidRDefault="00172036" w:rsidP="0020363A">
      <w:pPr>
        <w:pStyle w:val="UnidaviSeoTerciria"/>
      </w:pPr>
    </w:p>
    <w:p w14:paraId="2285D91E" w14:textId="77777777" w:rsidR="00EE51EE" w:rsidRDefault="00EE51EE" w:rsidP="0020363A">
      <w:pPr>
        <w:pStyle w:val="UnidaviTexto-Espao15"/>
      </w:pPr>
      <w:r>
        <w:t>Segundo Di Pietro (2008), e</w:t>
      </w:r>
      <w:r w:rsidR="00172036">
        <w:t xml:space="preserve">sse princípio assegura que a Administração Pública, não </w:t>
      </w:r>
      <w:r>
        <w:t>possa</w:t>
      </w:r>
      <w:r w:rsidR="00172036">
        <w:t xml:space="preserve"> conceder a outro participante do processo licitatório, que não </w:t>
      </w:r>
      <w:r>
        <w:t>o vencedor, o objeto licitado, sendo a adjudicação obrigatória, a menos que o vencedor desista definitivamente do contrato ou não firmar no prazo prefixado, salvo comprovação de justo motivo.</w:t>
      </w:r>
    </w:p>
    <w:p w14:paraId="32BBC58A" w14:textId="73803526" w:rsidR="00172036" w:rsidRDefault="001F28C8" w:rsidP="0020363A">
      <w:pPr>
        <w:pStyle w:val="UnidaviTexto-Espao15"/>
      </w:pPr>
      <w:r>
        <w:t xml:space="preserve"> A Lei </w:t>
      </w:r>
      <w:r w:rsidR="00D70856">
        <w:t xml:space="preserve">nº </w:t>
      </w:r>
      <w:r>
        <w:t>8.666/93, a</w:t>
      </w:r>
      <w:r w:rsidR="00EE51EE">
        <w:t>rt</w:t>
      </w:r>
      <w:r>
        <w:t>.</w:t>
      </w:r>
      <w:r w:rsidR="00EE51EE">
        <w:t xml:space="preserve"> 50 destaca </w:t>
      </w:r>
      <w:r w:rsidR="006753E4">
        <w:t xml:space="preserve">que </w:t>
      </w:r>
      <w:r w:rsidR="00EE51EE">
        <w:t>“A Administração não poderá celebra</w:t>
      </w:r>
      <w:r w:rsidR="00F06C8C">
        <w:t>r</w:t>
      </w:r>
      <w:r w:rsidR="00EE51EE">
        <w:t xml:space="preserve"> o contrato com preterição da ordem de classificação das propostas ou com terceiros estranhos ao procedimento licitatório, sob pena de nulidade.”</w:t>
      </w:r>
      <w:r w:rsidR="00F06C8C">
        <w:t xml:space="preserve">. E completa em seu Art. 64 </w:t>
      </w:r>
      <w:r w:rsidR="00F06C8C" w:rsidRPr="003F488A">
        <w:t>que “A Administração convocará regularmente o interessado para assinar o termo de contrato, aceitar ou retirar o instrumento equivalente dentro do prazo e condições estabelecidos, sob pena de</w:t>
      </w:r>
      <w:r w:rsidR="006753E4">
        <w:t xml:space="preserve"> decair o direito à contratação</w:t>
      </w:r>
      <w:r w:rsidR="00F06C8C" w:rsidRPr="003F488A">
        <w:t xml:space="preserve"> [...]”.</w:t>
      </w:r>
    </w:p>
    <w:p w14:paraId="7A317E0D" w14:textId="1B599974" w:rsidR="00EC5433" w:rsidRDefault="00EC5433" w:rsidP="0020363A">
      <w:pPr>
        <w:pStyle w:val="UnidaviTexto-Espao15"/>
        <w:ind w:firstLine="0"/>
      </w:pPr>
    </w:p>
    <w:p w14:paraId="3D177B50" w14:textId="77777777" w:rsidR="00B80A5B" w:rsidRDefault="00B80A5B">
      <w:pPr>
        <w:spacing w:after="160" w:line="259" w:lineRule="auto"/>
        <w:rPr>
          <w:caps/>
          <w:lang w:val="en-US"/>
        </w:rPr>
      </w:pPr>
      <w:r>
        <w:br w:type="page"/>
      </w:r>
    </w:p>
    <w:p w14:paraId="4DB512ED" w14:textId="085EEF85" w:rsidR="00330A23" w:rsidRDefault="00F06C8C" w:rsidP="0020363A">
      <w:pPr>
        <w:pStyle w:val="UNIDAVISEOSECUNDARIA"/>
        <w:spacing w:line="360" w:lineRule="auto"/>
      </w:pPr>
      <w:r>
        <w:lastRenderedPageBreak/>
        <w:t xml:space="preserve">2.5 modalidades de licitação </w:t>
      </w:r>
    </w:p>
    <w:p w14:paraId="5E8BEFA2" w14:textId="77777777" w:rsidR="00FC52C2" w:rsidRDefault="00FC52C2" w:rsidP="00213346">
      <w:pPr>
        <w:pStyle w:val="UnidaviTexto-Espao15"/>
        <w:ind w:firstLine="0"/>
      </w:pPr>
    </w:p>
    <w:p w14:paraId="203A8315" w14:textId="62B805CE" w:rsidR="00B111E8" w:rsidRDefault="00B111E8" w:rsidP="0020363A">
      <w:pPr>
        <w:pStyle w:val="UnidaviTexto-Espao15"/>
      </w:pPr>
      <w:r>
        <w:t>De acordo com Marçal (2008, p. 361) “A expressão “modalidade” é utilizada, tecnicamente, para indicar cada uma das espécies de procedimentos licitatórios, que se diferenciam entre si no tocante à estrutura e aos fins buscados.”.</w:t>
      </w:r>
    </w:p>
    <w:p w14:paraId="48C3A180" w14:textId="77777777" w:rsidR="00D745E0" w:rsidRDefault="00D745E0" w:rsidP="00213346">
      <w:pPr>
        <w:pStyle w:val="UnidaviTexto-Espao15"/>
        <w:ind w:firstLine="0"/>
      </w:pPr>
    </w:p>
    <w:p w14:paraId="6EE8BB75" w14:textId="1A3CA1CE" w:rsidR="00B111E8" w:rsidRPr="00101AE8" w:rsidRDefault="00B111E8" w:rsidP="006E5406">
      <w:pPr>
        <w:pStyle w:val="UnidaviCitaoLonga"/>
      </w:pPr>
      <w:r w:rsidRPr="00101AE8">
        <w:t xml:space="preserve">As diferenças entre as diversas modalidades de licitação não se resumem a questões acessórias, tais como âmbito da publicação, prazo de divulgação, </w:t>
      </w:r>
      <w:r w:rsidR="00D745E0" w:rsidRPr="00101AE8">
        <w:t>valor econômico da contratação. As diferenças procedimentais retratam a necessidade de adequar a disciplina do procedimento licitatório às características do objeto a ser contratado e do critério de julgamento consagrado. (MARÇAL, 2008, p. 361).</w:t>
      </w:r>
    </w:p>
    <w:p w14:paraId="5D1D1FCF" w14:textId="3463242A" w:rsidR="00D745E0" w:rsidRDefault="00D745E0" w:rsidP="0020363A">
      <w:pPr>
        <w:pStyle w:val="UnidaviCitaoLonga"/>
        <w:spacing w:line="360" w:lineRule="auto"/>
        <w:ind w:left="0"/>
      </w:pPr>
    </w:p>
    <w:p w14:paraId="56C0A176" w14:textId="40770059" w:rsidR="00096500" w:rsidRDefault="00D745E0" w:rsidP="00213346">
      <w:pPr>
        <w:pStyle w:val="UnidaviTexto-Espao15"/>
      </w:pPr>
      <w:r>
        <w:t>Segundo Meirelles (2006), “A licitação compreende as seguintes modalidades: concorrência, tomada de preços, convite, concurso, leilão e pregão. Licitação, portanto, é o gênero, do qua</w:t>
      </w:r>
      <w:r w:rsidR="00157585">
        <w:t>l as modalidades são espécies.”.</w:t>
      </w:r>
    </w:p>
    <w:p w14:paraId="3055303F" w14:textId="77777777" w:rsidR="00AF4746" w:rsidRDefault="00AF4746" w:rsidP="00213346">
      <w:pPr>
        <w:pStyle w:val="UnidaviTexto-Espao15"/>
      </w:pPr>
    </w:p>
    <w:p w14:paraId="6A25451E" w14:textId="37D7D25B" w:rsidR="00096500" w:rsidRDefault="00096500" w:rsidP="0020363A">
      <w:pPr>
        <w:pStyle w:val="UnidaviSeoTerciria"/>
      </w:pPr>
      <w:r>
        <w:t xml:space="preserve">2.5.1 Concorrência </w:t>
      </w:r>
    </w:p>
    <w:p w14:paraId="6DADB0DE" w14:textId="05FE9BA8" w:rsidR="00096500" w:rsidRDefault="00096500" w:rsidP="0020363A">
      <w:pPr>
        <w:pStyle w:val="UnidaviSeoTerciria"/>
      </w:pPr>
    </w:p>
    <w:p w14:paraId="13A62B50" w14:textId="3066C86D" w:rsidR="00096500" w:rsidRDefault="00096500" w:rsidP="0020363A">
      <w:pPr>
        <w:pStyle w:val="UnidaviTexto-Espao15"/>
      </w:pPr>
      <w:r>
        <w:t xml:space="preserve">A Lei </w:t>
      </w:r>
      <w:r w:rsidR="00D70856">
        <w:t xml:space="preserve">nº </w:t>
      </w:r>
      <w:r>
        <w:t xml:space="preserve">8.66/93, </w:t>
      </w:r>
      <w:r w:rsidR="001F28C8">
        <w:t>a</w:t>
      </w:r>
      <w:r w:rsidR="0090519D">
        <w:t xml:space="preserve">rt. 22 </w:t>
      </w:r>
      <w:r>
        <w:t>§ 1º descreve “Concorrência é a modalidade de licitação entre quaisquer interessados que, na fase inicial de habilitação preliminar, comprovem possuir os requisitos mínimos de qualificação exigidos no edital para execução de seu objeto.”.</w:t>
      </w:r>
    </w:p>
    <w:p w14:paraId="068A7EC8" w14:textId="79F708BE" w:rsidR="006841CB" w:rsidRDefault="0090519D" w:rsidP="0020363A">
      <w:pPr>
        <w:pStyle w:val="UnidaviTexto-Espao15"/>
      </w:pPr>
      <w:r>
        <w:t>De acordo com Meirelles (2006), e</w:t>
      </w:r>
      <w:r w:rsidR="00096500">
        <w:t xml:space="preserve">ssa modalidade é utilizada propriamente para contratos com valores altos, onde qualquer interessado pode participar, </w:t>
      </w:r>
      <w:r>
        <w:t>desde que cumpram as regras estabelecidas no edital, informados com a antecedência mínima prevista na lei, com vasta publicidade pelo órgão ofic</w:t>
      </w:r>
      <w:r w:rsidR="00101AE8">
        <w:t>ial e pela imprensa particular.</w:t>
      </w:r>
    </w:p>
    <w:p w14:paraId="15175457" w14:textId="49733AD4" w:rsidR="00F85061" w:rsidRDefault="00F85061" w:rsidP="0020363A">
      <w:pPr>
        <w:pStyle w:val="UnidaviTexto-Espao15"/>
      </w:pPr>
      <w:r>
        <w:t xml:space="preserve">A Lei </w:t>
      </w:r>
      <w:r w:rsidR="0037482F">
        <w:t xml:space="preserve">nº </w:t>
      </w:r>
      <w:r>
        <w:t xml:space="preserve">8.666/93, demonstra no artigo 23, os casos que </w:t>
      </w:r>
      <w:r w:rsidR="002D0701">
        <w:t>se aplica</w:t>
      </w:r>
      <w:r>
        <w:t xml:space="preserve"> a modalidade concorrência, conforme apresentado no Quadro 3.</w:t>
      </w:r>
    </w:p>
    <w:p w14:paraId="06383B06" w14:textId="4AAD6CFF" w:rsidR="006841CB" w:rsidRDefault="006841CB" w:rsidP="0020363A">
      <w:pPr>
        <w:pStyle w:val="UnidaviTexto-Espao15"/>
        <w:ind w:firstLine="0"/>
      </w:pPr>
    </w:p>
    <w:p w14:paraId="2DDC01A6" w14:textId="30C94EDF" w:rsidR="00180AA8" w:rsidRPr="008C4DBF" w:rsidRDefault="00101AE8" w:rsidP="00CB3A6F">
      <w:pPr>
        <w:pStyle w:val="UnidaviCitaoLonga"/>
        <w:ind w:left="284"/>
        <w:rPr>
          <w:b/>
        </w:rPr>
      </w:pPr>
      <w:r w:rsidRPr="008C4DBF">
        <w:rPr>
          <w:b/>
        </w:rPr>
        <w:t>Quadro 3 – Situações em que a modalidade concorrência é obrigatória</w:t>
      </w:r>
    </w:p>
    <w:tbl>
      <w:tblPr>
        <w:tblStyle w:val="Tabelacomgrade"/>
        <w:tblW w:w="8221" w:type="dxa"/>
        <w:tblInd w:w="279" w:type="dxa"/>
        <w:tblLook w:val="04A0" w:firstRow="1" w:lastRow="0" w:firstColumn="1" w:lastColumn="0" w:noHBand="0" w:noVBand="1"/>
      </w:tblPr>
      <w:tblGrid>
        <w:gridCol w:w="3283"/>
        <w:gridCol w:w="4938"/>
      </w:tblGrid>
      <w:tr w:rsidR="006841CB" w:rsidRPr="00101AE8" w14:paraId="54FC35A6" w14:textId="77777777" w:rsidTr="00CB3A6F">
        <w:trPr>
          <w:trHeight w:val="252"/>
        </w:trPr>
        <w:tc>
          <w:tcPr>
            <w:tcW w:w="3283" w:type="dxa"/>
          </w:tcPr>
          <w:p w14:paraId="349EE771" w14:textId="77777777" w:rsidR="006841CB" w:rsidRPr="00101AE8" w:rsidRDefault="006841CB" w:rsidP="00E63367">
            <w:pPr>
              <w:pStyle w:val="UnidaviCitaoLonga"/>
            </w:pPr>
          </w:p>
          <w:p w14:paraId="6072DFEE" w14:textId="77777777" w:rsidR="006841CB" w:rsidRPr="00101AE8" w:rsidRDefault="006841CB" w:rsidP="00E63367">
            <w:pPr>
              <w:pStyle w:val="UnidaviCitaoLonga"/>
            </w:pPr>
          </w:p>
          <w:p w14:paraId="49F6A700" w14:textId="77777777" w:rsidR="006841CB" w:rsidRPr="00101AE8" w:rsidRDefault="006841CB" w:rsidP="00E63367">
            <w:pPr>
              <w:pStyle w:val="UnidaviCitaoLonga"/>
            </w:pPr>
          </w:p>
          <w:p w14:paraId="5D4D29BC" w14:textId="77777777" w:rsidR="006841CB" w:rsidRPr="00101AE8" w:rsidRDefault="006841CB" w:rsidP="00E63367">
            <w:pPr>
              <w:pStyle w:val="UnidaviCitaoLonga"/>
            </w:pPr>
          </w:p>
          <w:p w14:paraId="517AB0B4" w14:textId="77777777" w:rsidR="006841CB" w:rsidRPr="00101AE8" w:rsidRDefault="006841CB" w:rsidP="00E63367">
            <w:pPr>
              <w:pStyle w:val="UnidaviCitaoLonga"/>
            </w:pPr>
          </w:p>
          <w:p w14:paraId="3954B3F0" w14:textId="77777777" w:rsidR="006841CB" w:rsidRPr="00101AE8" w:rsidRDefault="006841CB" w:rsidP="00E63367">
            <w:pPr>
              <w:pStyle w:val="UnidaviCitaoLonga"/>
            </w:pPr>
          </w:p>
          <w:p w14:paraId="02C5C1B6" w14:textId="77777777" w:rsidR="006841CB" w:rsidRPr="00101AE8" w:rsidRDefault="006841CB" w:rsidP="00E63367">
            <w:pPr>
              <w:pStyle w:val="UnidaviCitaoLonga"/>
            </w:pPr>
          </w:p>
          <w:p w14:paraId="70A3D4F5" w14:textId="77777777" w:rsidR="006841CB" w:rsidRPr="00101AE8" w:rsidRDefault="006841CB" w:rsidP="00E63367">
            <w:pPr>
              <w:pStyle w:val="UnidaviCitaoLonga"/>
            </w:pPr>
          </w:p>
          <w:p w14:paraId="2564BF8D" w14:textId="77777777" w:rsidR="00101AE8" w:rsidRPr="00101AE8" w:rsidRDefault="00101AE8" w:rsidP="00E63367">
            <w:pPr>
              <w:pStyle w:val="UnidaviCitaoLonga"/>
            </w:pPr>
          </w:p>
          <w:p w14:paraId="56BD229A" w14:textId="77777777" w:rsidR="00101AE8" w:rsidRPr="00101AE8" w:rsidRDefault="00101AE8" w:rsidP="00E63367">
            <w:pPr>
              <w:pStyle w:val="UnidaviCitaoLonga"/>
            </w:pPr>
          </w:p>
          <w:p w14:paraId="673C5CBB" w14:textId="77777777" w:rsidR="00101AE8" w:rsidRPr="00101AE8" w:rsidRDefault="00101AE8" w:rsidP="00E63367">
            <w:pPr>
              <w:pStyle w:val="UnidaviCitaoLonga"/>
            </w:pPr>
          </w:p>
          <w:p w14:paraId="77CFE5D9" w14:textId="77777777" w:rsidR="00101AE8" w:rsidRPr="00101AE8" w:rsidRDefault="00101AE8" w:rsidP="00E63367">
            <w:pPr>
              <w:pStyle w:val="UnidaviCitaoLonga"/>
            </w:pPr>
          </w:p>
          <w:p w14:paraId="126A6841" w14:textId="77777777" w:rsidR="00101AE8" w:rsidRPr="00101AE8" w:rsidRDefault="00101AE8" w:rsidP="00E63367">
            <w:pPr>
              <w:pStyle w:val="UnidaviCitaoLonga"/>
            </w:pPr>
          </w:p>
          <w:p w14:paraId="3E7F2A78" w14:textId="20789940" w:rsidR="006841CB" w:rsidRPr="00CF34A4" w:rsidRDefault="00E63367" w:rsidP="00E63367">
            <w:pPr>
              <w:pStyle w:val="UnidaviCitaoLonga"/>
              <w:ind w:left="0"/>
              <w:rPr>
                <w:b/>
              </w:rPr>
            </w:pPr>
            <w:r>
              <w:t xml:space="preserve">                 </w:t>
            </w:r>
            <w:r w:rsidR="006841CB" w:rsidRPr="00CF34A4">
              <w:rPr>
                <w:b/>
              </w:rPr>
              <w:t>Concorrência</w:t>
            </w:r>
          </w:p>
        </w:tc>
        <w:tc>
          <w:tcPr>
            <w:tcW w:w="4938" w:type="dxa"/>
          </w:tcPr>
          <w:p w14:paraId="1AA718A5" w14:textId="12BF272A" w:rsidR="006841CB" w:rsidRPr="00101AE8" w:rsidRDefault="006841CB" w:rsidP="00A3775E">
            <w:pPr>
              <w:pStyle w:val="UnidaviCitaoLonga"/>
              <w:ind w:left="0"/>
            </w:pPr>
            <w:r w:rsidRPr="00101AE8">
              <w:lastRenderedPageBreak/>
              <w:t>a) obras e serviços de engenharia de valor superior a um milhão e quinhentos mil reais;</w:t>
            </w:r>
            <w:r w:rsidR="00F85061">
              <w:t xml:space="preserve"> (Art. 23, inciso I - c)</w:t>
            </w:r>
          </w:p>
          <w:p w14:paraId="09C0EE4E" w14:textId="77777777" w:rsidR="00101AE8" w:rsidRPr="00101AE8" w:rsidRDefault="00101AE8" w:rsidP="00A3775E">
            <w:pPr>
              <w:pStyle w:val="UnidaviCitaoLonga"/>
            </w:pPr>
          </w:p>
          <w:p w14:paraId="1DBE7FCD" w14:textId="12F32126" w:rsidR="006841CB" w:rsidRPr="00101AE8" w:rsidRDefault="006841CB" w:rsidP="00A3775E">
            <w:pPr>
              <w:pStyle w:val="UnidaviCitaoLonga"/>
              <w:ind w:left="0"/>
            </w:pPr>
            <w:r w:rsidRPr="00101AE8">
              <w:t>b) compras e serviços que não sejam de engenharia, de valor superior a seiscentos e cinquenta mil;</w:t>
            </w:r>
            <w:r w:rsidR="00F85061">
              <w:t xml:space="preserve"> (Art. 23, inciso II - c)</w:t>
            </w:r>
          </w:p>
          <w:p w14:paraId="3FDE33FC" w14:textId="77777777" w:rsidR="00101AE8" w:rsidRPr="00101AE8" w:rsidRDefault="00101AE8" w:rsidP="00A3775E">
            <w:pPr>
              <w:pStyle w:val="UnidaviCitaoLonga"/>
            </w:pPr>
          </w:p>
          <w:p w14:paraId="0E37F484" w14:textId="6834B698" w:rsidR="006841CB" w:rsidRPr="00101AE8" w:rsidRDefault="006841CB" w:rsidP="00A3775E">
            <w:pPr>
              <w:pStyle w:val="UnidaviCitaoLonga"/>
              <w:ind w:left="0"/>
            </w:pPr>
            <w:r w:rsidRPr="00101AE8">
              <w:t xml:space="preserve">c) </w:t>
            </w:r>
            <w:r w:rsidR="00531121" w:rsidRPr="00101AE8">
              <w:t xml:space="preserve">A concorrência é a modalidade de licitação cabível, qualquer que seja o valor de seu objeto, tanto na compra ou alienação de bens imóveis, ressalvado o disposto no art 19, como nas concessões de direito real de uso e nas licitações internacionais, admitindo-se neste último caso, observados </w:t>
            </w:r>
            <w:r w:rsidR="00531121" w:rsidRPr="00101AE8">
              <w:lastRenderedPageBreak/>
              <w:t>os limites deste artigo, a tomada de preços, quando o órgão ou entidade dispuser de cadastro internacional de fornecedores ou o convite, quando não houver fornecedor do bem ou serviço no País.</w:t>
            </w:r>
            <w:r w:rsidRPr="00101AE8">
              <w:t xml:space="preserve"> (§ 3º do artigo 23, alterado pela Lei nº 8.883/94);</w:t>
            </w:r>
          </w:p>
          <w:p w14:paraId="494DD6CF" w14:textId="77777777" w:rsidR="00101AE8" w:rsidRPr="00101AE8" w:rsidRDefault="00101AE8" w:rsidP="00A3775E">
            <w:pPr>
              <w:pStyle w:val="UnidaviCitaoLonga"/>
            </w:pPr>
          </w:p>
          <w:p w14:paraId="26904C9B" w14:textId="7CF60938" w:rsidR="006841CB" w:rsidRPr="00101AE8" w:rsidRDefault="006841CB" w:rsidP="00A3775E">
            <w:pPr>
              <w:pStyle w:val="UnidaviCitaoLonga"/>
              <w:ind w:left="0"/>
            </w:pPr>
            <w:r w:rsidRPr="00101AE8">
              <w:t>d) concessões de direito real de uso (§ 3º do art. 23);</w:t>
            </w:r>
          </w:p>
          <w:p w14:paraId="05CC9731" w14:textId="77777777" w:rsidR="00101AE8" w:rsidRPr="00101AE8" w:rsidRDefault="00101AE8" w:rsidP="00A3775E">
            <w:pPr>
              <w:pStyle w:val="UnidaviCitaoLonga"/>
            </w:pPr>
          </w:p>
          <w:p w14:paraId="1268BB86" w14:textId="6F5FBC9C" w:rsidR="006841CB" w:rsidRPr="00101AE8" w:rsidRDefault="006841CB" w:rsidP="00A3775E">
            <w:pPr>
              <w:pStyle w:val="UnidaviCitaoLonga"/>
              <w:ind w:left="0"/>
            </w:pPr>
            <w:r w:rsidRPr="00101AE8">
              <w:t>e) licitações internacionais, com a ressalva para a tomada de preços e para o convite, na hipótese do § 3º do artigo 23;</w:t>
            </w:r>
          </w:p>
          <w:p w14:paraId="46D3ADA0" w14:textId="77777777" w:rsidR="00101AE8" w:rsidRPr="00101AE8" w:rsidRDefault="00101AE8" w:rsidP="00A3775E">
            <w:pPr>
              <w:pStyle w:val="UnidaviCitaoLonga"/>
            </w:pPr>
          </w:p>
          <w:p w14:paraId="6E8E680A" w14:textId="65229835" w:rsidR="006841CB" w:rsidRPr="00101AE8" w:rsidRDefault="006841CB" w:rsidP="00A3775E">
            <w:pPr>
              <w:pStyle w:val="UnidaviCitaoLonga"/>
              <w:ind w:left="0"/>
            </w:pPr>
            <w:r w:rsidRPr="00101AE8">
              <w:t>f) alienação de bens móveis de valor superior ao previsto no art.23, II b (art. 17, § 6º);</w:t>
            </w:r>
          </w:p>
          <w:p w14:paraId="7B362628" w14:textId="77777777" w:rsidR="00101AE8" w:rsidRPr="00101AE8" w:rsidRDefault="00101AE8" w:rsidP="00A3775E">
            <w:pPr>
              <w:pStyle w:val="UnidaviCitaoLonga"/>
            </w:pPr>
          </w:p>
          <w:p w14:paraId="2F8D261F" w14:textId="33AC5C44" w:rsidR="006841CB" w:rsidRPr="00101AE8" w:rsidRDefault="006841CB" w:rsidP="00A3775E">
            <w:pPr>
              <w:pStyle w:val="UnidaviCitaoLonga"/>
              <w:ind w:left="0"/>
            </w:pPr>
            <w:r w:rsidRPr="00101AE8">
              <w:t xml:space="preserve">g) para o registro de preços (art. 15, § 3º, I), </w:t>
            </w:r>
            <w:r w:rsidR="00101AE8" w:rsidRPr="00101AE8">
              <w:t>exceto</w:t>
            </w:r>
            <w:r w:rsidRPr="00101AE8">
              <w:t xml:space="preserve"> a possibilidade de utilização do pregão, conforme artigos 11 e 12 da Lei nº 10.520/2002</w:t>
            </w:r>
          </w:p>
        </w:tc>
      </w:tr>
    </w:tbl>
    <w:p w14:paraId="3BB82D9F" w14:textId="1AB97606" w:rsidR="006841CB" w:rsidRPr="00101AE8" w:rsidRDefault="00101AE8" w:rsidP="00CB3A6F">
      <w:pPr>
        <w:pStyle w:val="UnidaviCitaoLonga"/>
        <w:spacing w:line="360" w:lineRule="auto"/>
        <w:ind w:left="284"/>
      </w:pPr>
      <w:r w:rsidRPr="00101AE8">
        <w:lastRenderedPageBreak/>
        <w:t>Fonte: Elaborado a partir da Lei 8.666/93</w:t>
      </w:r>
    </w:p>
    <w:p w14:paraId="6FE107C9" w14:textId="76A05418" w:rsidR="00180AA8" w:rsidRDefault="00180AA8" w:rsidP="0020363A">
      <w:pPr>
        <w:pStyle w:val="UnidaviCitaoLonga"/>
        <w:spacing w:line="360" w:lineRule="auto"/>
        <w:ind w:left="0"/>
      </w:pPr>
    </w:p>
    <w:p w14:paraId="6EEE3EC8" w14:textId="4DA40EFF" w:rsidR="00101AE8" w:rsidRDefault="00180AA8" w:rsidP="0020363A">
      <w:pPr>
        <w:pStyle w:val="UnidaviTexto-Espao15"/>
      </w:pPr>
      <w:r>
        <w:t>Meirelles (2006</w:t>
      </w:r>
      <w:r w:rsidR="00FC0EAA">
        <w:t>, p.314</w:t>
      </w:r>
      <w:r>
        <w:t xml:space="preserve">) descreve </w:t>
      </w:r>
      <w:r w:rsidR="008C33A8">
        <w:t xml:space="preserve">os requisitos da concorrência </w:t>
      </w:r>
      <w:r w:rsidR="00FC0EAA">
        <w:t>“</w:t>
      </w:r>
      <w:r w:rsidR="008C33A8">
        <w:t xml:space="preserve">[...] </w:t>
      </w:r>
      <w:r w:rsidR="00FC0EAA">
        <w:t>a universalidade, a ampla publicidade, a habilitação preliminar e o julgamento por comissão. Admite a participação internacional de concorrentes, o consórcio de firmas e a pré-qualificação dos licitantes.”.</w:t>
      </w:r>
    </w:p>
    <w:p w14:paraId="29E01ED6" w14:textId="770D3BA3" w:rsidR="00F85061" w:rsidRDefault="00F85061" w:rsidP="0020363A">
      <w:pPr>
        <w:pStyle w:val="UnidaviTexto-Espao15"/>
      </w:pPr>
      <w:r>
        <w:t xml:space="preserve">Meirelles (2006), menciona os requisitos da modalidade de licitação </w:t>
      </w:r>
      <w:r w:rsidR="002D0701">
        <w:t>concorrê</w:t>
      </w:r>
      <w:r>
        <w:t>ncia</w:t>
      </w:r>
      <w:r w:rsidR="002D0701">
        <w:t>, conforme exposto no Quadro 4.</w:t>
      </w:r>
    </w:p>
    <w:p w14:paraId="51256410" w14:textId="77777777" w:rsidR="004365DA" w:rsidRDefault="004365DA" w:rsidP="004E5221">
      <w:pPr>
        <w:pStyle w:val="UnidaviTexto-Espao15"/>
        <w:spacing w:line="240" w:lineRule="auto"/>
      </w:pPr>
    </w:p>
    <w:p w14:paraId="6D6C7890" w14:textId="7E6212EF" w:rsidR="004365DA" w:rsidRPr="003F488A" w:rsidRDefault="004365DA" w:rsidP="00EE415F">
      <w:pPr>
        <w:pStyle w:val="UnidaviTexto-Espao15"/>
        <w:tabs>
          <w:tab w:val="left" w:pos="426"/>
        </w:tabs>
        <w:spacing w:line="240" w:lineRule="auto"/>
        <w:ind w:left="284" w:firstLine="0"/>
        <w:rPr>
          <w:b/>
          <w:sz w:val="20"/>
        </w:rPr>
      </w:pPr>
      <w:r w:rsidRPr="003F488A">
        <w:rPr>
          <w:b/>
          <w:sz w:val="20"/>
        </w:rPr>
        <w:t xml:space="preserve">Quadro 4 – Requisitos da modalidade de licitação concorrência </w:t>
      </w:r>
    </w:p>
    <w:tbl>
      <w:tblPr>
        <w:tblStyle w:val="Tabelacomgrade"/>
        <w:tblW w:w="8221" w:type="dxa"/>
        <w:tblInd w:w="279" w:type="dxa"/>
        <w:tblLook w:val="04A0" w:firstRow="1" w:lastRow="0" w:firstColumn="1" w:lastColumn="0" w:noHBand="0" w:noVBand="1"/>
      </w:tblPr>
      <w:tblGrid>
        <w:gridCol w:w="1984"/>
        <w:gridCol w:w="6237"/>
      </w:tblGrid>
      <w:tr w:rsidR="008B4B9C" w:rsidRPr="00462109" w14:paraId="6AA3C9B1" w14:textId="77777777" w:rsidTr="00EE415F">
        <w:trPr>
          <w:trHeight w:val="372"/>
        </w:trPr>
        <w:tc>
          <w:tcPr>
            <w:tcW w:w="1984" w:type="dxa"/>
          </w:tcPr>
          <w:p w14:paraId="1147E7D0" w14:textId="77777777" w:rsidR="00462109" w:rsidRDefault="00462109" w:rsidP="00462109">
            <w:pPr>
              <w:jc w:val="center"/>
              <w:rPr>
                <w:sz w:val="20"/>
              </w:rPr>
            </w:pPr>
          </w:p>
          <w:p w14:paraId="23F54E9E" w14:textId="263D1B2A" w:rsidR="008B4B9C" w:rsidRPr="00462109" w:rsidRDefault="008B4B9C" w:rsidP="00462109">
            <w:pPr>
              <w:jc w:val="center"/>
              <w:rPr>
                <w:b/>
                <w:sz w:val="20"/>
              </w:rPr>
            </w:pPr>
            <w:r w:rsidRPr="00462109">
              <w:rPr>
                <w:b/>
                <w:sz w:val="20"/>
              </w:rPr>
              <w:t>Universalidade</w:t>
            </w:r>
          </w:p>
        </w:tc>
        <w:tc>
          <w:tcPr>
            <w:tcW w:w="6237" w:type="dxa"/>
          </w:tcPr>
          <w:p w14:paraId="14D5D6F2" w14:textId="5FDA9F74" w:rsidR="008B4B9C" w:rsidRPr="00462109" w:rsidRDefault="008B4B9C" w:rsidP="00462109">
            <w:pPr>
              <w:jc w:val="both"/>
              <w:rPr>
                <w:sz w:val="20"/>
              </w:rPr>
            </w:pPr>
            <w:r w:rsidRPr="00462109">
              <w:rPr>
                <w:sz w:val="20"/>
              </w:rPr>
              <w:t>É a possibilidade que se oferece à participação de quaisquer interessados na concorrência, independentemente de registro cadastral na Administração que a realiza ou em qualquer outro órgão público.</w:t>
            </w:r>
          </w:p>
        </w:tc>
      </w:tr>
      <w:tr w:rsidR="008B4B9C" w:rsidRPr="00462109" w14:paraId="004ACD82" w14:textId="77777777" w:rsidTr="00EE415F">
        <w:trPr>
          <w:trHeight w:val="385"/>
        </w:trPr>
        <w:tc>
          <w:tcPr>
            <w:tcW w:w="1984" w:type="dxa"/>
          </w:tcPr>
          <w:p w14:paraId="0586994E" w14:textId="77777777" w:rsidR="00462109" w:rsidRDefault="00462109" w:rsidP="00462109">
            <w:pPr>
              <w:jc w:val="center"/>
              <w:rPr>
                <w:sz w:val="20"/>
              </w:rPr>
            </w:pPr>
          </w:p>
          <w:p w14:paraId="287D8BF4" w14:textId="48E147A6" w:rsidR="008B4B9C" w:rsidRPr="00462109" w:rsidRDefault="008B4B9C" w:rsidP="00462109">
            <w:pPr>
              <w:jc w:val="center"/>
              <w:rPr>
                <w:b/>
                <w:sz w:val="20"/>
              </w:rPr>
            </w:pPr>
            <w:r w:rsidRPr="00462109">
              <w:rPr>
                <w:b/>
                <w:sz w:val="20"/>
              </w:rPr>
              <w:t>Ampla publicidade da convocação</w:t>
            </w:r>
          </w:p>
        </w:tc>
        <w:tc>
          <w:tcPr>
            <w:tcW w:w="6237" w:type="dxa"/>
          </w:tcPr>
          <w:p w14:paraId="736EE4C2" w14:textId="1EA31322" w:rsidR="008B4B9C" w:rsidRPr="00462109" w:rsidRDefault="008B4B9C" w:rsidP="00462109">
            <w:pPr>
              <w:jc w:val="both"/>
              <w:rPr>
                <w:sz w:val="20"/>
              </w:rPr>
            </w:pPr>
            <w:r w:rsidRPr="00462109">
              <w:rPr>
                <w:sz w:val="20"/>
              </w:rPr>
              <w:t>Para a concorrência é requisito essencial, por relacionar-se com o princípio da universalidade. O que a lei exige é a divulgação da abertura da concorrência com a maior amplitude possível e desejável, tendo em vista o vulto e a complexidade do seu objeto.</w:t>
            </w:r>
          </w:p>
        </w:tc>
      </w:tr>
      <w:tr w:rsidR="008B4B9C" w:rsidRPr="00462109" w14:paraId="3F62E125" w14:textId="77777777" w:rsidTr="00EE415F">
        <w:trPr>
          <w:trHeight w:val="372"/>
        </w:trPr>
        <w:tc>
          <w:tcPr>
            <w:tcW w:w="1984" w:type="dxa"/>
          </w:tcPr>
          <w:p w14:paraId="50BA9E69" w14:textId="43563FE7" w:rsidR="008B4B9C" w:rsidRPr="00462109" w:rsidRDefault="008B4B9C" w:rsidP="00462109">
            <w:pPr>
              <w:jc w:val="center"/>
              <w:rPr>
                <w:b/>
                <w:sz w:val="20"/>
              </w:rPr>
            </w:pPr>
            <w:r w:rsidRPr="00462109">
              <w:rPr>
                <w:b/>
                <w:sz w:val="20"/>
              </w:rPr>
              <w:t>Habilitação preliminar</w:t>
            </w:r>
          </w:p>
        </w:tc>
        <w:tc>
          <w:tcPr>
            <w:tcW w:w="6237" w:type="dxa"/>
          </w:tcPr>
          <w:p w14:paraId="225C061A" w14:textId="6D6C79D6" w:rsidR="008B4B9C" w:rsidRPr="00462109" w:rsidRDefault="008B4B9C" w:rsidP="00462109">
            <w:pPr>
              <w:jc w:val="both"/>
              <w:rPr>
                <w:sz w:val="20"/>
              </w:rPr>
            </w:pPr>
            <w:r w:rsidRPr="00462109">
              <w:rPr>
                <w:sz w:val="20"/>
              </w:rPr>
              <w:t>Na concorrência, constitui fase inicial do procedimento licitatório, realizada após sua abertura, enquanto na tomada de preços e no convite é anterior.</w:t>
            </w:r>
          </w:p>
        </w:tc>
      </w:tr>
      <w:tr w:rsidR="008B4B9C" w:rsidRPr="00462109" w14:paraId="455D252E" w14:textId="77777777" w:rsidTr="00EE415F">
        <w:trPr>
          <w:trHeight w:val="372"/>
        </w:trPr>
        <w:tc>
          <w:tcPr>
            <w:tcW w:w="1984" w:type="dxa"/>
          </w:tcPr>
          <w:p w14:paraId="6D8BB818" w14:textId="77777777" w:rsidR="00462109" w:rsidRDefault="00462109" w:rsidP="00462109">
            <w:pPr>
              <w:jc w:val="center"/>
              <w:rPr>
                <w:sz w:val="20"/>
              </w:rPr>
            </w:pPr>
          </w:p>
          <w:p w14:paraId="2C843007" w14:textId="77777777" w:rsidR="00462109" w:rsidRDefault="00462109" w:rsidP="00462109">
            <w:pPr>
              <w:jc w:val="center"/>
              <w:rPr>
                <w:sz w:val="20"/>
              </w:rPr>
            </w:pPr>
          </w:p>
          <w:p w14:paraId="4F643024" w14:textId="74EFBF20" w:rsidR="008B4B9C" w:rsidRPr="00462109" w:rsidRDefault="008B4B9C" w:rsidP="00462109">
            <w:pPr>
              <w:jc w:val="center"/>
              <w:rPr>
                <w:b/>
                <w:sz w:val="20"/>
              </w:rPr>
            </w:pPr>
            <w:r w:rsidRPr="00462109">
              <w:rPr>
                <w:b/>
                <w:sz w:val="20"/>
              </w:rPr>
              <w:t>Julgamento por comissão</w:t>
            </w:r>
          </w:p>
        </w:tc>
        <w:tc>
          <w:tcPr>
            <w:tcW w:w="6237" w:type="dxa"/>
          </w:tcPr>
          <w:p w14:paraId="5197BDE7" w14:textId="4BDAC847" w:rsidR="008B4B9C" w:rsidRPr="00462109" w:rsidRDefault="008B4B9C" w:rsidP="00462109">
            <w:pPr>
              <w:jc w:val="both"/>
              <w:rPr>
                <w:sz w:val="20"/>
              </w:rPr>
            </w:pPr>
            <w:r w:rsidRPr="00462109">
              <w:rPr>
                <w:sz w:val="20"/>
              </w:rPr>
              <w:t>Por outro lado, o julgamento dos requisitos pessoais dos interessados, sob o aspecto da capacidade jurídica, da regularidade fiscal, da qualificação técnica e da idoneidade econômico-financeira, compete sempre a uma Comissão de pelo menos três membros, que pode ser a mesma que irá julgar as propostas, como ocorre comumente.</w:t>
            </w:r>
          </w:p>
        </w:tc>
      </w:tr>
      <w:tr w:rsidR="008B4B9C" w:rsidRPr="00462109" w14:paraId="4D12EB5A" w14:textId="77777777" w:rsidTr="00EE415F">
        <w:trPr>
          <w:trHeight w:val="372"/>
        </w:trPr>
        <w:tc>
          <w:tcPr>
            <w:tcW w:w="1984" w:type="dxa"/>
          </w:tcPr>
          <w:p w14:paraId="3ED28A4B" w14:textId="77777777" w:rsidR="00462109" w:rsidRDefault="00462109" w:rsidP="00462109">
            <w:pPr>
              <w:jc w:val="center"/>
              <w:rPr>
                <w:sz w:val="20"/>
              </w:rPr>
            </w:pPr>
          </w:p>
          <w:p w14:paraId="788F2948" w14:textId="77777777" w:rsidR="00462109" w:rsidRDefault="00462109" w:rsidP="00462109">
            <w:pPr>
              <w:jc w:val="center"/>
              <w:rPr>
                <w:sz w:val="20"/>
              </w:rPr>
            </w:pPr>
          </w:p>
          <w:p w14:paraId="21681C85" w14:textId="2EFB44E7" w:rsidR="008B4B9C" w:rsidRPr="00462109" w:rsidRDefault="00462109" w:rsidP="00462109">
            <w:pPr>
              <w:jc w:val="center"/>
              <w:rPr>
                <w:b/>
                <w:sz w:val="20"/>
              </w:rPr>
            </w:pPr>
            <w:r w:rsidRPr="00462109">
              <w:rPr>
                <w:b/>
                <w:sz w:val="20"/>
              </w:rPr>
              <w:t>Concorrência internacional</w:t>
            </w:r>
          </w:p>
        </w:tc>
        <w:tc>
          <w:tcPr>
            <w:tcW w:w="6237" w:type="dxa"/>
          </w:tcPr>
          <w:p w14:paraId="321AE6BF" w14:textId="78EA8AA9" w:rsidR="008B4B9C" w:rsidRPr="00462109" w:rsidRDefault="00462109" w:rsidP="00462109">
            <w:pPr>
              <w:jc w:val="both"/>
              <w:rPr>
                <w:sz w:val="20"/>
              </w:rPr>
            </w:pPr>
            <w:r w:rsidRPr="00462109">
              <w:rPr>
                <w:sz w:val="20"/>
              </w:rPr>
              <w:t>É aquela em que se permite a participação de firmas internacionais e estrangeiras, isoladamente ou em consórcio com empresas nacionais. O seu procedimento é o mesmo de qualquer concorrência, apenas com sujeição às diretrizes estabelecidas elos órgãos federais responsáveis pela política monetária e do comércio exterior, ou seja, às normas expedidas pelo banco Central do Brasil e pelo ministério da Fazenda.</w:t>
            </w:r>
          </w:p>
        </w:tc>
      </w:tr>
      <w:tr w:rsidR="008B4B9C" w:rsidRPr="00462109" w14:paraId="171B244F" w14:textId="77777777" w:rsidTr="00EE415F">
        <w:trPr>
          <w:trHeight w:val="385"/>
        </w:trPr>
        <w:tc>
          <w:tcPr>
            <w:tcW w:w="1984" w:type="dxa"/>
          </w:tcPr>
          <w:p w14:paraId="36F86A22" w14:textId="77777777" w:rsidR="00462109" w:rsidRDefault="00462109" w:rsidP="00462109">
            <w:pPr>
              <w:jc w:val="center"/>
              <w:rPr>
                <w:b/>
                <w:sz w:val="20"/>
              </w:rPr>
            </w:pPr>
          </w:p>
          <w:p w14:paraId="69DBBDD9" w14:textId="208204A1" w:rsidR="008B4B9C" w:rsidRPr="00462109" w:rsidRDefault="00462109" w:rsidP="00462109">
            <w:pPr>
              <w:jc w:val="center"/>
              <w:rPr>
                <w:b/>
                <w:sz w:val="20"/>
              </w:rPr>
            </w:pPr>
            <w:r w:rsidRPr="00462109">
              <w:rPr>
                <w:b/>
                <w:sz w:val="20"/>
              </w:rPr>
              <w:t>Consórcio de empresas ou firmas</w:t>
            </w:r>
          </w:p>
        </w:tc>
        <w:tc>
          <w:tcPr>
            <w:tcW w:w="6237" w:type="dxa"/>
          </w:tcPr>
          <w:p w14:paraId="2E0F2C16" w14:textId="5BEE1E9F" w:rsidR="008B4B9C" w:rsidRPr="00462109" w:rsidRDefault="00462109" w:rsidP="00462109">
            <w:pPr>
              <w:jc w:val="both"/>
              <w:rPr>
                <w:sz w:val="20"/>
              </w:rPr>
            </w:pPr>
            <w:r w:rsidRPr="00462109">
              <w:rPr>
                <w:sz w:val="20"/>
              </w:rPr>
              <w:t>É a associação de dois ou mais interessados na concorrência (empresas ou profissionais), de modo que, somando a técnica capital, trabalho e know-how, possam executar um empreendimento que, isoladamente, não teriam condições de realizar.</w:t>
            </w:r>
          </w:p>
        </w:tc>
      </w:tr>
      <w:tr w:rsidR="008B4B9C" w:rsidRPr="00462109" w14:paraId="4788A374" w14:textId="77777777" w:rsidTr="00EE415F">
        <w:trPr>
          <w:trHeight w:val="372"/>
        </w:trPr>
        <w:tc>
          <w:tcPr>
            <w:tcW w:w="1984" w:type="dxa"/>
          </w:tcPr>
          <w:p w14:paraId="33A5305F" w14:textId="77777777" w:rsidR="00462109" w:rsidRDefault="00462109" w:rsidP="00462109">
            <w:pPr>
              <w:jc w:val="center"/>
              <w:rPr>
                <w:b/>
                <w:sz w:val="20"/>
              </w:rPr>
            </w:pPr>
          </w:p>
          <w:p w14:paraId="074C95C9" w14:textId="2DF53955" w:rsidR="008B4B9C" w:rsidRPr="00462109" w:rsidRDefault="00462109" w:rsidP="00462109">
            <w:pPr>
              <w:jc w:val="center"/>
              <w:rPr>
                <w:b/>
                <w:sz w:val="20"/>
              </w:rPr>
            </w:pPr>
            <w:r w:rsidRPr="00462109">
              <w:rPr>
                <w:b/>
                <w:sz w:val="20"/>
              </w:rPr>
              <w:t>Pré-qualificação</w:t>
            </w:r>
          </w:p>
        </w:tc>
        <w:tc>
          <w:tcPr>
            <w:tcW w:w="6237" w:type="dxa"/>
          </w:tcPr>
          <w:p w14:paraId="201B0482" w14:textId="39CA13BB" w:rsidR="008B4B9C" w:rsidRPr="00462109" w:rsidRDefault="00462109" w:rsidP="00462109">
            <w:pPr>
              <w:jc w:val="both"/>
              <w:rPr>
                <w:sz w:val="20"/>
              </w:rPr>
            </w:pPr>
            <w:r w:rsidRPr="00462109">
              <w:rPr>
                <w:sz w:val="20"/>
              </w:rPr>
              <w:t>É a verificação prévia da idoneidade jurídica, técnica e financeira de firmas ou consórcios para participarem de determinadas e futuras concorrências de um mesmo empreendimento.</w:t>
            </w:r>
          </w:p>
        </w:tc>
      </w:tr>
    </w:tbl>
    <w:p w14:paraId="605AE024" w14:textId="4CCEC12E" w:rsidR="0076050D" w:rsidRPr="004365DA" w:rsidRDefault="004365DA" w:rsidP="00EE415F">
      <w:pPr>
        <w:pStyle w:val="UnidaviTexto-Espao15"/>
        <w:ind w:left="284" w:firstLine="0"/>
        <w:rPr>
          <w:sz w:val="20"/>
        </w:rPr>
      </w:pPr>
      <w:r w:rsidRPr="004365DA">
        <w:rPr>
          <w:sz w:val="20"/>
        </w:rPr>
        <w:t>Fonte: Elaborado a partir de Meirelles (2006)</w:t>
      </w:r>
    </w:p>
    <w:p w14:paraId="743E9E9F" w14:textId="0AFB3362" w:rsidR="00F05863" w:rsidRDefault="00F05863" w:rsidP="0020363A">
      <w:pPr>
        <w:pStyle w:val="UnidaviTexto-Espao15"/>
      </w:pPr>
    </w:p>
    <w:p w14:paraId="017D6A22" w14:textId="329D1508" w:rsidR="005D207C" w:rsidRDefault="000615C5" w:rsidP="00AF6FFA">
      <w:pPr>
        <w:pStyle w:val="UnidaviTexto-Espao15"/>
      </w:pPr>
      <w:r>
        <w:t>Conforme Bacellar (2007), a modalidade concorrência é considerada a mais completa das modalidades de licitação e, é apontada como símbolo da licitação no Brasil. As fases que essa modalidade exige, acaba por filtrar a melhor e mais vantajosa proposta para a Administração Pública.</w:t>
      </w:r>
    </w:p>
    <w:p w14:paraId="4F3CB3D0" w14:textId="77777777" w:rsidR="00EE415F" w:rsidRDefault="00EE415F" w:rsidP="00AF6FFA">
      <w:pPr>
        <w:pStyle w:val="UnidaviTexto-Espao15"/>
      </w:pPr>
    </w:p>
    <w:p w14:paraId="6070C21B" w14:textId="7328DB99" w:rsidR="000615C5" w:rsidRDefault="001B5294" w:rsidP="0020363A">
      <w:pPr>
        <w:pStyle w:val="UnidaviSeoTerciria"/>
      </w:pPr>
      <w:r>
        <w:t>2.5.2 Tomada de p</w:t>
      </w:r>
      <w:r w:rsidR="000615C5">
        <w:t>reços</w:t>
      </w:r>
    </w:p>
    <w:p w14:paraId="3BBD145A" w14:textId="582DEBCC" w:rsidR="00984755" w:rsidRDefault="00984755" w:rsidP="0020363A">
      <w:pPr>
        <w:pStyle w:val="UnidaviSeoTerciria"/>
      </w:pPr>
    </w:p>
    <w:p w14:paraId="70700277" w14:textId="0528918B" w:rsidR="00A27FCC" w:rsidRDefault="00984755" w:rsidP="0020363A">
      <w:pPr>
        <w:pStyle w:val="UnidaviTexto-Espao15"/>
      </w:pPr>
      <w:r>
        <w:t xml:space="preserve">A Lei </w:t>
      </w:r>
      <w:r w:rsidR="00BF73D3">
        <w:t xml:space="preserve">nº </w:t>
      </w:r>
      <w:r>
        <w:t>8.66/93, Art.</w:t>
      </w:r>
      <w:r w:rsidR="00157585">
        <w:t xml:space="preserve"> 22 § 2º descreve “</w:t>
      </w:r>
      <w:r>
        <w:t>Tomada de preços é a modalidade de licitação entre interessados devidamente cadastrados ou que atenderem a todas as condições exigidas para cadastramento até o terceiro dia anterior à data do recebimento das propostas, observada a necessária qualificação.”.</w:t>
      </w:r>
    </w:p>
    <w:p w14:paraId="753EA324" w14:textId="5D8D4AC9" w:rsidR="00A27FCC" w:rsidRDefault="008346F8" w:rsidP="0020363A">
      <w:pPr>
        <w:pStyle w:val="UnidaviTexto-Espao15"/>
      </w:pPr>
      <w:r>
        <w:t>De acordo com a</w:t>
      </w:r>
      <w:r w:rsidR="00BF73D3">
        <w:t xml:space="preserve"> L</w:t>
      </w:r>
      <w:r w:rsidR="00A27FCC">
        <w:t xml:space="preserve">ei </w:t>
      </w:r>
      <w:r w:rsidR="00BF73D3">
        <w:t xml:space="preserve">nº </w:t>
      </w:r>
      <w:r w:rsidR="00A27FCC">
        <w:t xml:space="preserve">8.666/93, em seu artigo 23, os casos em que deve ser aplicada a modalidade tomada de preços, </w:t>
      </w:r>
      <w:r>
        <w:t>são</w:t>
      </w:r>
      <w:r w:rsidR="00A27FCC">
        <w:t xml:space="preserve"> mencionado</w:t>
      </w:r>
      <w:r>
        <w:t>s</w:t>
      </w:r>
      <w:r w:rsidR="00A27FCC">
        <w:t xml:space="preserve"> no Quadro 5.</w:t>
      </w:r>
    </w:p>
    <w:p w14:paraId="7F05965C" w14:textId="77777777" w:rsidR="00A27FCC" w:rsidRDefault="00A27FCC" w:rsidP="0020363A">
      <w:pPr>
        <w:pStyle w:val="UnidaviTexto-Espao15"/>
      </w:pPr>
    </w:p>
    <w:p w14:paraId="1466320C" w14:textId="01990025" w:rsidR="00A27FCC" w:rsidRPr="008C4DBF" w:rsidRDefault="00A27FCC" w:rsidP="00EE415F">
      <w:pPr>
        <w:pStyle w:val="UnidaviCitaoLonga"/>
        <w:ind w:left="284"/>
        <w:rPr>
          <w:b/>
        </w:rPr>
      </w:pPr>
      <w:r w:rsidRPr="008C4DBF">
        <w:rPr>
          <w:b/>
        </w:rPr>
        <w:t>Quadro 5 – Situações em que se aplica a modalidade tomada de preços</w:t>
      </w:r>
    </w:p>
    <w:tbl>
      <w:tblPr>
        <w:tblStyle w:val="Tabelacomgrade"/>
        <w:tblW w:w="8221" w:type="dxa"/>
        <w:tblInd w:w="279" w:type="dxa"/>
        <w:tblLook w:val="04A0" w:firstRow="1" w:lastRow="0" w:firstColumn="1" w:lastColumn="0" w:noHBand="0" w:noVBand="1"/>
      </w:tblPr>
      <w:tblGrid>
        <w:gridCol w:w="2410"/>
        <w:gridCol w:w="5811"/>
      </w:tblGrid>
      <w:tr w:rsidR="00A27FCC" w14:paraId="41AB362B" w14:textId="77777777" w:rsidTr="00EE415F">
        <w:trPr>
          <w:trHeight w:val="1054"/>
        </w:trPr>
        <w:tc>
          <w:tcPr>
            <w:tcW w:w="2410" w:type="dxa"/>
          </w:tcPr>
          <w:p w14:paraId="2F9ABC1E" w14:textId="77777777" w:rsidR="00A27FCC" w:rsidRDefault="00A27FCC" w:rsidP="008346F8">
            <w:pPr>
              <w:pStyle w:val="UnidaviTexto-Espao15"/>
              <w:ind w:firstLine="0"/>
            </w:pPr>
          </w:p>
          <w:p w14:paraId="5E2FA8DB" w14:textId="77777777" w:rsidR="00A27FCC" w:rsidRDefault="00A27FCC" w:rsidP="008346F8">
            <w:pPr>
              <w:pStyle w:val="UnidaviTexto-Espao15"/>
              <w:ind w:firstLine="0"/>
              <w:jc w:val="center"/>
              <w:rPr>
                <w:b/>
              </w:rPr>
            </w:pPr>
          </w:p>
          <w:p w14:paraId="656DD138" w14:textId="77777777" w:rsidR="00A27FCC" w:rsidRDefault="00A27FCC" w:rsidP="008346F8">
            <w:pPr>
              <w:pStyle w:val="UnidaviTexto-Espao15"/>
              <w:ind w:firstLine="0"/>
              <w:jc w:val="center"/>
              <w:rPr>
                <w:b/>
              </w:rPr>
            </w:pPr>
          </w:p>
          <w:p w14:paraId="41002E41" w14:textId="77777777" w:rsidR="00A27FCC" w:rsidRPr="007209A1" w:rsidRDefault="00A27FCC" w:rsidP="008346F8">
            <w:pPr>
              <w:pStyle w:val="UnidaviTexto-Espao15"/>
              <w:ind w:firstLine="0"/>
              <w:jc w:val="center"/>
              <w:rPr>
                <w:b/>
              </w:rPr>
            </w:pPr>
            <w:r w:rsidRPr="00CF34A4">
              <w:rPr>
                <w:b/>
                <w:sz w:val="20"/>
              </w:rPr>
              <w:t>Tomada de Preços</w:t>
            </w:r>
          </w:p>
        </w:tc>
        <w:tc>
          <w:tcPr>
            <w:tcW w:w="5811" w:type="dxa"/>
          </w:tcPr>
          <w:p w14:paraId="3EFB5672" w14:textId="77777777" w:rsidR="00A27FCC" w:rsidRPr="007209A1" w:rsidRDefault="00A27FCC" w:rsidP="008346F8">
            <w:pPr>
              <w:pStyle w:val="UnidaviTexto-Espao15"/>
              <w:spacing w:line="240" w:lineRule="auto"/>
              <w:ind w:firstLine="0"/>
              <w:rPr>
                <w:sz w:val="20"/>
              </w:rPr>
            </w:pPr>
            <w:r w:rsidRPr="007209A1">
              <w:rPr>
                <w:sz w:val="20"/>
              </w:rPr>
              <w:t>Lei 8.666/96 Art 23</w:t>
            </w:r>
            <w:r>
              <w:rPr>
                <w:sz w:val="20"/>
              </w:rPr>
              <w:t>,</w:t>
            </w:r>
            <w:r w:rsidRPr="007209A1">
              <w:rPr>
                <w:sz w:val="20"/>
              </w:rPr>
              <w:t xml:space="preserve"> inciso I – para obras e serviços de engenharia: b) tomada de preços – até R$ 1.500.000,00 (um milhão e quinhentos mil reais);</w:t>
            </w:r>
          </w:p>
          <w:p w14:paraId="4B301D4B" w14:textId="77777777" w:rsidR="00A27FCC" w:rsidRPr="007209A1" w:rsidRDefault="00A27FCC" w:rsidP="008346F8">
            <w:pPr>
              <w:pStyle w:val="UnidaviTexto-Espao15"/>
              <w:spacing w:line="240" w:lineRule="auto"/>
              <w:ind w:firstLine="0"/>
              <w:rPr>
                <w:sz w:val="20"/>
              </w:rPr>
            </w:pPr>
          </w:p>
          <w:p w14:paraId="0FE0A3D6" w14:textId="77777777" w:rsidR="00A27FCC" w:rsidRDefault="00A27FCC" w:rsidP="008346F8">
            <w:pPr>
              <w:pStyle w:val="UnidaviTexto-Espao15"/>
              <w:spacing w:line="240" w:lineRule="auto"/>
              <w:ind w:firstLine="0"/>
              <w:rPr>
                <w:sz w:val="20"/>
              </w:rPr>
            </w:pPr>
            <w:r w:rsidRPr="007209A1">
              <w:rPr>
                <w:sz w:val="20"/>
              </w:rPr>
              <w:t>Lei 8.666/96 Art 23</w:t>
            </w:r>
            <w:r>
              <w:rPr>
                <w:sz w:val="20"/>
              </w:rPr>
              <w:t>,</w:t>
            </w:r>
            <w:r w:rsidRPr="007209A1">
              <w:rPr>
                <w:sz w:val="20"/>
              </w:rPr>
              <w:t xml:space="preserve"> inciso II – para compras e serviços não referidos no inciso anterior: b) tomada de preços – até R$ 650.000,00 (seiscentos e cinquenta mil reais).</w:t>
            </w:r>
          </w:p>
          <w:p w14:paraId="37F9F733" w14:textId="77777777" w:rsidR="00A27FCC" w:rsidRDefault="00A27FCC" w:rsidP="008346F8">
            <w:pPr>
              <w:pStyle w:val="UnidaviTexto-Espao15"/>
              <w:spacing w:line="240" w:lineRule="auto"/>
              <w:ind w:firstLine="0"/>
              <w:rPr>
                <w:sz w:val="20"/>
              </w:rPr>
            </w:pPr>
          </w:p>
          <w:p w14:paraId="0B8D2AAF" w14:textId="77777777" w:rsidR="00A27FCC" w:rsidRDefault="00A27FCC" w:rsidP="00E63367">
            <w:pPr>
              <w:pStyle w:val="UnidaviCitaoLonga"/>
              <w:ind w:left="0"/>
            </w:pPr>
            <w:r w:rsidRPr="007209A1">
              <w:t>Lei 8.666/96 Art 23</w:t>
            </w:r>
            <w:r>
              <w:t>,</w:t>
            </w:r>
            <w:r w:rsidRPr="007209A1">
              <w:t xml:space="preserve"> </w:t>
            </w:r>
            <w:r>
              <w:t>§ 3º -</w:t>
            </w:r>
            <w:r w:rsidRPr="007209A1">
              <w:t xml:space="preserve"> </w:t>
            </w:r>
            <w:r w:rsidRPr="00101AE8">
              <w:t>nas licitações internacionais, observados os limites deste artigo, a tomada de preços, quando o órgão ou entidade dispuser de cadastro internacional de fornecedores ou o convite, quando não houver fornecedor do bem ou serviço no País. (§ 3º do artigo 23, alterado pela Lei nº 8.883/94);</w:t>
            </w:r>
          </w:p>
        </w:tc>
      </w:tr>
    </w:tbl>
    <w:p w14:paraId="6049EB1B" w14:textId="3A64F8B7" w:rsidR="00A27FCC" w:rsidRPr="00F85061" w:rsidRDefault="00A27FCC" w:rsidP="00EE415F">
      <w:pPr>
        <w:pStyle w:val="UnidaviTexto-Espao15"/>
        <w:ind w:left="284" w:firstLine="0"/>
        <w:rPr>
          <w:sz w:val="20"/>
        </w:rPr>
      </w:pPr>
      <w:r w:rsidRPr="00F85061">
        <w:rPr>
          <w:sz w:val="20"/>
        </w:rPr>
        <w:t xml:space="preserve">Fonte: Elaborado a partir da Lei </w:t>
      </w:r>
      <w:r w:rsidR="00BF73D3">
        <w:rPr>
          <w:sz w:val="20"/>
        </w:rPr>
        <w:t xml:space="preserve">nº </w:t>
      </w:r>
      <w:r w:rsidRPr="00F85061">
        <w:rPr>
          <w:sz w:val="20"/>
        </w:rPr>
        <w:t>8.666/93</w:t>
      </w:r>
    </w:p>
    <w:p w14:paraId="6F31D06C" w14:textId="77777777" w:rsidR="00A27FCC" w:rsidRDefault="00A27FCC" w:rsidP="0020363A">
      <w:pPr>
        <w:pStyle w:val="UnidaviTexto-Espao15"/>
        <w:ind w:firstLine="0"/>
      </w:pPr>
    </w:p>
    <w:p w14:paraId="75E1DC30" w14:textId="01993FD0" w:rsidR="00CA0D73" w:rsidRDefault="00CA0D73" w:rsidP="0020363A">
      <w:pPr>
        <w:pStyle w:val="UnidaviTexto-Espao15"/>
        <w:ind w:firstLine="708"/>
      </w:pPr>
      <w:r>
        <w:t>Segundo Meirelles (2006), a modalidade tomada de preços tem o mesmo procedimento da modalidade concorrência, inclusive o julgamento por comissão de três membros. A única diferença entre as duas, é a presença da habilitação prévia dos licitantes, por meio dos registros cadastrais, que se resume em verificar os dados contidos nos certificados dos interessados e os mesmos possuem a real capacidade requisitada no edital.</w:t>
      </w:r>
    </w:p>
    <w:p w14:paraId="0F757EC4" w14:textId="0A1478D9" w:rsidR="00C011F1" w:rsidRDefault="00C011F1" w:rsidP="00213346">
      <w:pPr>
        <w:pStyle w:val="UnidaviTexto-Espao15"/>
        <w:ind w:firstLine="0"/>
      </w:pPr>
    </w:p>
    <w:p w14:paraId="11D3E4CA" w14:textId="42AA61A7" w:rsidR="00C011F1" w:rsidRDefault="00C011F1" w:rsidP="006E5406">
      <w:pPr>
        <w:pStyle w:val="UnidaviCitaoLonga"/>
      </w:pPr>
      <w:r>
        <w:t>A tomada de preços, destinada a transações de vulto médio, é a modalidade em que a participação na licitação restringe-se:</w:t>
      </w:r>
    </w:p>
    <w:p w14:paraId="1D7128F9" w14:textId="0CA32B9A" w:rsidR="00C011F1" w:rsidRDefault="00C011F1" w:rsidP="006E5406">
      <w:pPr>
        <w:pStyle w:val="UnidaviCitaoLonga"/>
      </w:pPr>
      <w:r>
        <w:t>a) às pessoas previamente inscritas em cadastro administrativo, organizado em função dos ramos de atividades e potencialidades dos eventuais proponentes, e</w:t>
      </w:r>
    </w:p>
    <w:p w14:paraId="6ACC76C1" w14:textId="2DC41FD6" w:rsidR="00C011F1" w:rsidRDefault="00C011F1" w:rsidP="006E5406">
      <w:pPr>
        <w:pStyle w:val="UnidaviCitaoLonga"/>
      </w:pPr>
      <w:r>
        <w:lastRenderedPageBreak/>
        <w:t>b) aos que, atendendo a todas as condições exigidas para o cadastramento, até o terceiro dia anterior à data fixada para recebimento das propostas, o requeiram e sejam, destarte, qualificados. (MELLO, 2007, p. 538).</w:t>
      </w:r>
    </w:p>
    <w:p w14:paraId="29C5E57D" w14:textId="7C4554AF" w:rsidR="00C011F1" w:rsidRDefault="00C011F1" w:rsidP="006E5406">
      <w:pPr>
        <w:pStyle w:val="UnidaviCitaoLonga"/>
        <w:spacing w:line="360" w:lineRule="auto"/>
        <w:ind w:left="0"/>
      </w:pPr>
    </w:p>
    <w:p w14:paraId="673E2708" w14:textId="1BCD6F1E" w:rsidR="00A27FCC" w:rsidRDefault="00C011F1" w:rsidP="00AF6FFA">
      <w:pPr>
        <w:pStyle w:val="UnidaviTexto-Espao15"/>
      </w:pPr>
      <w:r>
        <w:t>Blanchet</w:t>
      </w:r>
      <w:r w:rsidR="00F825EE">
        <w:t xml:space="preserve"> (2007, p. 105) complementa </w:t>
      </w:r>
      <w:r w:rsidR="001837AF">
        <w:t xml:space="preserve">que </w:t>
      </w:r>
      <w:r w:rsidR="00F825EE">
        <w:t>“A Tomada de Preços, ao contrário da Concorrência, é a modalidade cuja escolha se dá exclusivamente em função do valor estimado da contratação, sendo a modalidade cabível sempre que o valor for entre o limite máximo para Convite e mínimo para Concorrência.”.</w:t>
      </w:r>
    </w:p>
    <w:p w14:paraId="332C9A81" w14:textId="77777777" w:rsidR="00B80A5B" w:rsidRDefault="00B80A5B" w:rsidP="00B80A5B">
      <w:pPr>
        <w:pStyle w:val="UnidaviTexto-Espao15"/>
        <w:ind w:firstLine="0"/>
      </w:pPr>
    </w:p>
    <w:p w14:paraId="5BD8DA4E" w14:textId="555F72FE" w:rsidR="00A27FCC" w:rsidRDefault="00A27FCC" w:rsidP="006E5406">
      <w:pPr>
        <w:pStyle w:val="UnidaviSeoTerciria"/>
      </w:pPr>
      <w:r>
        <w:t>2.5.3 Convite</w:t>
      </w:r>
    </w:p>
    <w:p w14:paraId="660633FE" w14:textId="4505C31A" w:rsidR="00A27FCC" w:rsidRDefault="00A27FCC" w:rsidP="006E5406">
      <w:pPr>
        <w:pStyle w:val="UnidaviTexto-Espao15"/>
        <w:ind w:firstLine="0"/>
      </w:pPr>
    </w:p>
    <w:p w14:paraId="1199A55B" w14:textId="1AD5A2E5" w:rsidR="002B42A9" w:rsidRDefault="002B42A9" w:rsidP="006E5406">
      <w:pPr>
        <w:pStyle w:val="UnidaviTexto-Espao15"/>
      </w:pPr>
      <w:r>
        <w:t>Segundo Marçal (2008), a modalidade convite pode ser considerada a mais simples dentre as modalidades comuns de licitação. Isso porque a Administração Pública, pode escolher interessados capazes, que não precisam estar necessariamente cadastrados pa</w:t>
      </w:r>
      <w:r w:rsidR="0020363A">
        <w:t>ra participar da licitação.</w:t>
      </w:r>
    </w:p>
    <w:p w14:paraId="053695C8" w14:textId="01523CE3" w:rsidR="00D734F2" w:rsidRDefault="007F5BD8" w:rsidP="006E5406">
      <w:pPr>
        <w:pStyle w:val="UnidaviCitaoLonga"/>
      </w:pPr>
      <w:r>
        <w:t>Convite é a modalidade de licitação entre interessados do ramo pertinente ao seu objeto, cadastrados ou não, escolhidos e convidados em número mínimo de 3 (três)</w:t>
      </w:r>
      <w:r w:rsidR="002B42A9">
        <w:t xml:space="preserve"> pela unidade administrativa, a qual afixará, em local apropriado, cópia do instrumento convocatório e o estenderá aos demais cadastrados na correspondente especialidade que manifestarem seu interesse com antecedência de até 24 (vinte e quatro) horas da apresentação das propostas.</w:t>
      </w:r>
      <w:r>
        <w:t xml:space="preserve"> </w:t>
      </w:r>
      <w:r w:rsidR="00A137EC">
        <w:t>(</w:t>
      </w:r>
      <w:r w:rsidR="001F28C8">
        <w:t>LEI</w:t>
      </w:r>
      <w:r w:rsidR="00CF0C64">
        <w:t xml:space="preserve"> 8.66/93, Art. 22 § 3º</w:t>
      </w:r>
      <w:r w:rsidR="00A137EC">
        <w:t>).</w:t>
      </w:r>
    </w:p>
    <w:p w14:paraId="72D21BB7" w14:textId="5C0A07E5" w:rsidR="00D734F2" w:rsidRDefault="00D734F2" w:rsidP="006E5406">
      <w:pPr>
        <w:pStyle w:val="UnidaviCitaoLonga"/>
        <w:spacing w:line="360" w:lineRule="auto"/>
        <w:ind w:left="0"/>
      </w:pPr>
    </w:p>
    <w:p w14:paraId="32F3C19C" w14:textId="4FEB5B92" w:rsidR="00D734F2" w:rsidRDefault="00D734F2" w:rsidP="006E5406">
      <w:pPr>
        <w:pStyle w:val="UnidaviTexto-Espao15"/>
      </w:pPr>
      <w:r>
        <w:t xml:space="preserve">Blanchet (2007, p. </w:t>
      </w:r>
      <w:r w:rsidR="00157585">
        <w:t xml:space="preserve">105) menciona </w:t>
      </w:r>
      <w:r w:rsidR="001C17DB">
        <w:t xml:space="preserve">que </w:t>
      </w:r>
      <w:r w:rsidR="00157585">
        <w:t>“</w:t>
      </w:r>
      <w:r w:rsidR="00341652">
        <w:t xml:space="preserve">O Convite é a modalidade utilizada quando o valor estimado da contratação, encontra-se entre o limite máximo para dispensa de licitação e o mínimo a partir do qual deve-se promover Tomada de Preços.”. </w:t>
      </w:r>
      <w:r w:rsidR="00BF73D3">
        <w:t>Conforme a L</w:t>
      </w:r>
      <w:r>
        <w:t xml:space="preserve">ei </w:t>
      </w:r>
      <w:r w:rsidR="00BF73D3">
        <w:t xml:space="preserve">nº </w:t>
      </w:r>
      <w:r>
        <w:t>8.666/93, em seu artigo 23, os casos em que deve ser aplicada a modalidade convite, estão descritos no Quadro 6</w:t>
      </w:r>
      <w:r w:rsidR="00341652">
        <w:t>.</w:t>
      </w:r>
    </w:p>
    <w:p w14:paraId="431F309F" w14:textId="77777777" w:rsidR="00D92066" w:rsidRDefault="00D92066" w:rsidP="00213346">
      <w:pPr>
        <w:pStyle w:val="UnidaviTexto-Espao15"/>
        <w:ind w:firstLine="0"/>
      </w:pPr>
    </w:p>
    <w:p w14:paraId="021BAE9E" w14:textId="55789072" w:rsidR="008346F8" w:rsidRPr="00D92066" w:rsidRDefault="00D734F2" w:rsidP="00EE415F">
      <w:pPr>
        <w:pStyle w:val="UnidaviCitaoLonga"/>
        <w:ind w:left="284"/>
        <w:rPr>
          <w:b/>
        </w:rPr>
      </w:pPr>
      <w:r w:rsidRPr="00D92066">
        <w:rPr>
          <w:b/>
        </w:rPr>
        <w:t>Quadro 6</w:t>
      </w:r>
      <w:r w:rsidR="008346F8" w:rsidRPr="00D92066">
        <w:rPr>
          <w:b/>
        </w:rPr>
        <w:t xml:space="preserve"> – Situações em que se aplica a modalidade </w:t>
      </w:r>
      <w:r w:rsidRPr="00D92066">
        <w:rPr>
          <w:b/>
        </w:rPr>
        <w:t>convite</w:t>
      </w:r>
    </w:p>
    <w:tbl>
      <w:tblPr>
        <w:tblStyle w:val="Tabelacomgrade"/>
        <w:tblW w:w="8363" w:type="dxa"/>
        <w:tblInd w:w="279" w:type="dxa"/>
        <w:tblLook w:val="04A0" w:firstRow="1" w:lastRow="0" w:firstColumn="1" w:lastColumn="0" w:noHBand="0" w:noVBand="1"/>
      </w:tblPr>
      <w:tblGrid>
        <w:gridCol w:w="2401"/>
        <w:gridCol w:w="5962"/>
      </w:tblGrid>
      <w:tr w:rsidR="008346F8" w14:paraId="18CA067F" w14:textId="77777777" w:rsidTr="00A848CA">
        <w:trPr>
          <w:trHeight w:val="1053"/>
        </w:trPr>
        <w:tc>
          <w:tcPr>
            <w:tcW w:w="2401" w:type="dxa"/>
          </w:tcPr>
          <w:p w14:paraId="032C980E" w14:textId="36943410" w:rsidR="008346F8" w:rsidRDefault="008346F8" w:rsidP="00D734F2">
            <w:pPr>
              <w:pStyle w:val="UnidaviTexto-Espao15"/>
              <w:ind w:firstLine="0"/>
              <w:rPr>
                <w:b/>
              </w:rPr>
            </w:pPr>
          </w:p>
          <w:p w14:paraId="60D1FFB1" w14:textId="32CE0CC4" w:rsidR="008346F8" w:rsidRPr="007209A1" w:rsidRDefault="008346F8" w:rsidP="008346F8">
            <w:pPr>
              <w:pStyle w:val="UnidaviTexto-Espao15"/>
              <w:ind w:firstLine="0"/>
              <w:jc w:val="center"/>
              <w:rPr>
                <w:b/>
              </w:rPr>
            </w:pPr>
            <w:r w:rsidRPr="00CF34A4">
              <w:rPr>
                <w:b/>
                <w:sz w:val="20"/>
              </w:rPr>
              <w:t>Convite</w:t>
            </w:r>
          </w:p>
        </w:tc>
        <w:tc>
          <w:tcPr>
            <w:tcW w:w="5962" w:type="dxa"/>
          </w:tcPr>
          <w:p w14:paraId="734B0264" w14:textId="76681D2E" w:rsidR="008346F8" w:rsidRPr="007209A1" w:rsidRDefault="008346F8" w:rsidP="008346F8">
            <w:pPr>
              <w:pStyle w:val="UnidaviTexto-Espao15"/>
              <w:spacing w:line="240" w:lineRule="auto"/>
              <w:ind w:firstLine="0"/>
              <w:contextualSpacing/>
              <w:rPr>
                <w:sz w:val="20"/>
              </w:rPr>
            </w:pPr>
            <w:r w:rsidRPr="007209A1">
              <w:rPr>
                <w:sz w:val="20"/>
              </w:rPr>
              <w:t>Lei 8.666/96 Art 23</w:t>
            </w:r>
            <w:r>
              <w:rPr>
                <w:sz w:val="20"/>
              </w:rPr>
              <w:t>,</w:t>
            </w:r>
            <w:r w:rsidRPr="007209A1">
              <w:rPr>
                <w:sz w:val="20"/>
              </w:rPr>
              <w:t xml:space="preserve"> inciso I – para obras e serviços de engenharia</w:t>
            </w:r>
            <w:r>
              <w:rPr>
                <w:sz w:val="20"/>
              </w:rPr>
              <w:t>: a</w:t>
            </w:r>
            <w:r w:rsidRPr="007209A1">
              <w:rPr>
                <w:sz w:val="20"/>
              </w:rPr>
              <w:t xml:space="preserve">) </w:t>
            </w:r>
            <w:r>
              <w:rPr>
                <w:sz w:val="20"/>
              </w:rPr>
              <w:t>convite</w:t>
            </w:r>
            <w:r w:rsidRPr="007209A1">
              <w:rPr>
                <w:sz w:val="20"/>
              </w:rPr>
              <w:t xml:space="preserve"> – at</w:t>
            </w:r>
            <w:r>
              <w:rPr>
                <w:sz w:val="20"/>
              </w:rPr>
              <w:t>é R$ 1</w:t>
            </w:r>
            <w:r w:rsidRPr="007209A1">
              <w:rPr>
                <w:sz w:val="20"/>
              </w:rPr>
              <w:t>50</w:t>
            </w:r>
            <w:r>
              <w:rPr>
                <w:sz w:val="20"/>
              </w:rPr>
              <w:t>.000</w:t>
            </w:r>
            <w:r w:rsidRPr="007209A1">
              <w:rPr>
                <w:sz w:val="20"/>
              </w:rPr>
              <w:t>,00 (</w:t>
            </w:r>
            <w:r>
              <w:rPr>
                <w:sz w:val="20"/>
              </w:rPr>
              <w:t>cento e cinquenta</w:t>
            </w:r>
            <w:r w:rsidRPr="007209A1">
              <w:rPr>
                <w:sz w:val="20"/>
              </w:rPr>
              <w:t xml:space="preserve"> mil reais);</w:t>
            </w:r>
          </w:p>
          <w:p w14:paraId="1FA7A60C" w14:textId="77777777" w:rsidR="008346F8" w:rsidRPr="007209A1" w:rsidRDefault="008346F8" w:rsidP="008346F8">
            <w:pPr>
              <w:pStyle w:val="UnidaviTexto-Espao15"/>
              <w:spacing w:line="240" w:lineRule="auto"/>
              <w:ind w:firstLine="0"/>
              <w:contextualSpacing/>
              <w:rPr>
                <w:sz w:val="20"/>
              </w:rPr>
            </w:pPr>
          </w:p>
          <w:p w14:paraId="65D789B0" w14:textId="5973F6FA" w:rsidR="008346F8" w:rsidRPr="008346F8" w:rsidRDefault="008346F8" w:rsidP="008346F8">
            <w:pPr>
              <w:pStyle w:val="UnidaviTexto-Espao15"/>
              <w:spacing w:line="240" w:lineRule="auto"/>
              <w:ind w:firstLine="0"/>
              <w:contextualSpacing/>
              <w:rPr>
                <w:sz w:val="20"/>
              </w:rPr>
            </w:pPr>
            <w:r w:rsidRPr="007209A1">
              <w:rPr>
                <w:sz w:val="20"/>
              </w:rPr>
              <w:t>Lei 8.666/96 Art 23</w:t>
            </w:r>
            <w:r>
              <w:rPr>
                <w:sz w:val="20"/>
              </w:rPr>
              <w:t>,</w:t>
            </w:r>
            <w:r w:rsidRPr="007209A1">
              <w:rPr>
                <w:sz w:val="20"/>
              </w:rPr>
              <w:t xml:space="preserve"> inciso II – para compras e serviços não </w:t>
            </w:r>
            <w:r>
              <w:rPr>
                <w:sz w:val="20"/>
              </w:rPr>
              <w:t>referidos no inciso anterior: a</w:t>
            </w:r>
            <w:r w:rsidRPr="007209A1">
              <w:rPr>
                <w:sz w:val="20"/>
              </w:rPr>
              <w:t xml:space="preserve">) </w:t>
            </w:r>
            <w:r>
              <w:rPr>
                <w:sz w:val="20"/>
              </w:rPr>
              <w:t>convite</w:t>
            </w:r>
            <w:r w:rsidRPr="007209A1">
              <w:rPr>
                <w:sz w:val="20"/>
              </w:rPr>
              <w:t xml:space="preserve"> – até R$ </w:t>
            </w:r>
            <w:r>
              <w:rPr>
                <w:sz w:val="20"/>
              </w:rPr>
              <w:t>80</w:t>
            </w:r>
            <w:r w:rsidRPr="007209A1">
              <w:rPr>
                <w:sz w:val="20"/>
              </w:rPr>
              <w:t>.000,00 (</w:t>
            </w:r>
            <w:r>
              <w:rPr>
                <w:sz w:val="20"/>
              </w:rPr>
              <w:t>oitenta mil reais).</w:t>
            </w:r>
            <w:r w:rsidR="00D734F2">
              <w:rPr>
                <w:sz w:val="20"/>
              </w:rPr>
              <w:t xml:space="preserve">      </w:t>
            </w:r>
          </w:p>
        </w:tc>
      </w:tr>
    </w:tbl>
    <w:p w14:paraId="1967FCA6" w14:textId="306A7EBC" w:rsidR="008346F8" w:rsidRPr="00F85061" w:rsidRDefault="008346F8" w:rsidP="00EE415F">
      <w:pPr>
        <w:pStyle w:val="UnidaviTexto-Espao15"/>
        <w:ind w:left="284" w:firstLine="0"/>
        <w:rPr>
          <w:sz w:val="20"/>
        </w:rPr>
      </w:pPr>
      <w:r w:rsidRPr="00F85061">
        <w:rPr>
          <w:sz w:val="20"/>
        </w:rPr>
        <w:t xml:space="preserve">Fonte: Elaborado a partir da Lei </w:t>
      </w:r>
      <w:r w:rsidR="00BF73D3">
        <w:rPr>
          <w:sz w:val="20"/>
        </w:rPr>
        <w:t xml:space="preserve">nº </w:t>
      </w:r>
      <w:r w:rsidRPr="00F85061">
        <w:rPr>
          <w:sz w:val="20"/>
        </w:rPr>
        <w:t>8.666/93</w:t>
      </w:r>
    </w:p>
    <w:p w14:paraId="45541CDC" w14:textId="77777777" w:rsidR="008346F8" w:rsidRDefault="008346F8" w:rsidP="006E5406">
      <w:pPr>
        <w:pStyle w:val="UnidaviTexto-Espao15"/>
        <w:ind w:firstLine="0"/>
      </w:pPr>
    </w:p>
    <w:p w14:paraId="0F10E6CE" w14:textId="03B48F6E" w:rsidR="00BE6037" w:rsidRDefault="00341652" w:rsidP="006E5406">
      <w:pPr>
        <w:pStyle w:val="UnidaviTexto-Espao15"/>
      </w:pPr>
      <w:r>
        <w:t>Meirelles (2006) explica, que a modalidade convite, não demanda publicação, pelo fato de a Administração Pública, escolher ao</w:t>
      </w:r>
      <w:r w:rsidR="00BE6037">
        <w:t>s</w:t>
      </w:r>
      <w:r>
        <w:t xml:space="preserve"> participantes através de carta-convite.</w:t>
      </w:r>
      <w:r w:rsidR="00BE6037">
        <w:t xml:space="preserve"> Mas a lei exige que seja divulgado, cópia do instrumento convocatório em local apropriado, para que outros interessados, cadastrados na mesma categoria, possam manifestar interesse, em até vinte e quatro horas antes da apresentação das propostas. E, deve a administração, </w:t>
      </w:r>
      <w:r w:rsidR="00BE6037">
        <w:lastRenderedPageBreak/>
        <w:t>convidar outro fornecedor, a cada novo convite, que não tenha participado do convite anterior, realizado para objeto idêntico.</w:t>
      </w:r>
    </w:p>
    <w:p w14:paraId="5713BF64" w14:textId="53193AB8" w:rsidR="005D207C" w:rsidRDefault="005D207C" w:rsidP="006E5406">
      <w:pPr>
        <w:pStyle w:val="UnidaviSeoTerciria"/>
      </w:pPr>
    </w:p>
    <w:p w14:paraId="4EEE5425" w14:textId="275DDDD3" w:rsidR="00BE6037" w:rsidRDefault="00BE6037" w:rsidP="006E5406">
      <w:pPr>
        <w:pStyle w:val="UnidaviSeoTerciria"/>
      </w:pPr>
      <w:r>
        <w:t>2.5.4 Concurso</w:t>
      </w:r>
    </w:p>
    <w:p w14:paraId="558A0797" w14:textId="4801EF8D" w:rsidR="00BE6037" w:rsidRDefault="00BE6037" w:rsidP="006E5406">
      <w:pPr>
        <w:pStyle w:val="UnidaviSeoTerciria"/>
      </w:pPr>
    </w:p>
    <w:p w14:paraId="56576BF8" w14:textId="36F8E035" w:rsidR="006B7822" w:rsidRDefault="00166AFB" w:rsidP="006E5406">
      <w:pPr>
        <w:pStyle w:val="UnidaviTexto-Espao15"/>
      </w:pPr>
      <w:r>
        <w:t>De acordo com Meirelles (2006</w:t>
      </w:r>
      <w:r w:rsidR="00CF0C64">
        <w:t>, p. 322</w:t>
      </w:r>
      <w:r w:rsidR="00157585">
        <w:t>), concurso “</w:t>
      </w:r>
      <w:r w:rsidR="001C17DB">
        <w:t>É</w:t>
      </w:r>
      <w:r>
        <w:t xml:space="preserve"> a modalidade especial de licitação que, embora sujeita aos princípios da publicidade e da igualdade entre os participantes, objetivando a escolha do melhor trabalho, dispensa as formalidades específicas da concorrência.”.</w:t>
      </w:r>
    </w:p>
    <w:p w14:paraId="25739683" w14:textId="77777777" w:rsidR="00166AFB" w:rsidRDefault="00166AFB" w:rsidP="00213346">
      <w:pPr>
        <w:pStyle w:val="UnidaviTexto-Espao15"/>
        <w:ind w:firstLine="0"/>
      </w:pPr>
    </w:p>
    <w:p w14:paraId="540063FD" w14:textId="49C46DC1" w:rsidR="00166AFB" w:rsidRDefault="006B7822" w:rsidP="00213346">
      <w:pPr>
        <w:pStyle w:val="UnidaviCitaoLonga"/>
      </w:pPr>
      <w:r w:rsidRPr="00D92066">
        <w:t>Concurso é a modalidade de licitação entre quaisquer interessados para a escolha de trabalho técnico, científico ou artístico, mediante a instituição de prêmios ou remuneração aos vencedores, conforme critérios constantes de edital publicado na imprensa oficial com antecedência mínima de 45 (quarenta e cinco) dias.</w:t>
      </w:r>
      <w:r w:rsidR="001F28C8">
        <w:t xml:space="preserve"> (LEI</w:t>
      </w:r>
      <w:r w:rsidR="00213346">
        <w:t xml:space="preserve"> </w:t>
      </w:r>
      <w:r w:rsidR="00BF73D3">
        <w:t xml:space="preserve">nº </w:t>
      </w:r>
      <w:r w:rsidR="00213346">
        <w:t>8.666/93, Art. 21, § 4º)</w:t>
      </w:r>
    </w:p>
    <w:p w14:paraId="495EB8BD" w14:textId="77777777" w:rsidR="00213346" w:rsidRDefault="00213346" w:rsidP="00A848CA">
      <w:pPr>
        <w:pStyle w:val="UnidaviCitaoLonga"/>
        <w:spacing w:line="360" w:lineRule="auto"/>
      </w:pPr>
    </w:p>
    <w:p w14:paraId="752B483C" w14:textId="14D4F5B4" w:rsidR="00A137EC" w:rsidRDefault="00166AFB" w:rsidP="006E5406">
      <w:pPr>
        <w:pStyle w:val="UnidaviTexto-Espao15"/>
      </w:pPr>
      <w:r>
        <w:t>Conforme Mello (2007</w:t>
      </w:r>
      <w:r w:rsidR="00CF0C64">
        <w:t>, p. 540</w:t>
      </w:r>
      <w:r>
        <w:t>)</w:t>
      </w:r>
      <w:r w:rsidR="00FF3D2C">
        <w:t xml:space="preserve"> “O concurso terá regulamento próprio, acessível aos interessados no local indicado no edital. Seu julgamento e efetuado por comissão especial integrada por pessoas de reputação ilibada e reconhecido conhecimento da matéria, sejam ou não servidores públicos.”.</w:t>
      </w:r>
    </w:p>
    <w:p w14:paraId="4DB52952" w14:textId="514CD6E1" w:rsidR="00FF3D2C" w:rsidRDefault="00FF3D2C" w:rsidP="006E5406">
      <w:pPr>
        <w:pStyle w:val="UnidaviTexto-Espao15"/>
      </w:pPr>
      <w:r>
        <w:t>A Lei 8.666/93 em seu artigo 51 destaca:</w:t>
      </w:r>
    </w:p>
    <w:p w14:paraId="0BDC4491" w14:textId="77777777" w:rsidR="00A137EC" w:rsidRDefault="00A137EC" w:rsidP="00213346">
      <w:pPr>
        <w:pStyle w:val="UnidaviTexto-Espao15"/>
        <w:ind w:firstLine="0"/>
      </w:pPr>
    </w:p>
    <w:p w14:paraId="3F2F9DD8" w14:textId="2AC555CF" w:rsidR="00A137EC" w:rsidRPr="00D92066" w:rsidRDefault="00FF3D2C" w:rsidP="00D92066">
      <w:pPr>
        <w:pStyle w:val="UnidaviCitaoLonga"/>
      </w:pPr>
      <w:r w:rsidRPr="00D92066">
        <w:t xml:space="preserve">A habilitação preliminar, a inscrição em registro cadastral, sua alteração ou cancelamento, e as propostas serão processadas e julgadas por comissão permanente </w:t>
      </w:r>
      <w:r w:rsidR="00A137EC" w:rsidRPr="00D92066">
        <w:t xml:space="preserve">ou especial de, no mínimo, 3 (três) membros, sendo pelo menos 2 (dois) deles servidores qualificados pertencentes aos quadros permanentes dos órgãos da Administração responsáveis pela licitação. </w:t>
      </w:r>
    </w:p>
    <w:p w14:paraId="6F79A61C" w14:textId="5B163304" w:rsidR="00A137EC" w:rsidRDefault="00A137EC" w:rsidP="006E5406">
      <w:pPr>
        <w:pStyle w:val="UnidaviCitaoLonga"/>
      </w:pPr>
      <w:r w:rsidRPr="00D92066">
        <w:t xml:space="preserve">§ 5º No caso de concurso, o julgamento será feito por uma comissão especial integrada por pessoas de reputação ilibada e reconhecimento da matéria em exame, </w:t>
      </w:r>
      <w:r w:rsidR="001F28C8">
        <w:t>servidores públicos ou não. (LEI</w:t>
      </w:r>
      <w:r w:rsidRPr="00D92066">
        <w:t xml:space="preserve"> </w:t>
      </w:r>
      <w:r w:rsidR="00BF73D3">
        <w:t xml:space="preserve">nº </w:t>
      </w:r>
      <w:r w:rsidRPr="00D92066">
        <w:t>8.666/93, Art. 51, § 5º).</w:t>
      </w:r>
    </w:p>
    <w:p w14:paraId="3B0282A2" w14:textId="16F565CD" w:rsidR="00D92066" w:rsidRDefault="00D92066" w:rsidP="006E5406">
      <w:pPr>
        <w:pStyle w:val="UnidaviCitaoLonga"/>
        <w:spacing w:line="360" w:lineRule="auto"/>
        <w:ind w:left="0"/>
      </w:pPr>
    </w:p>
    <w:p w14:paraId="259A7390" w14:textId="002BFC02" w:rsidR="00A07934" w:rsidRDefault="00A07934" w:rsidP="006E5406">
      <w:pPr>
        <w:pStyle w:val="UnidaviTexto-Espao15"/>
      </w:pPr>
      <w:r>
        <w:t>Meirelles (2006) conclui ao explicar que a lei consente essa modalidade de licitação para produção e composição de projetos, desde que as condições estejam fixadas no regulamento do concurso. Pois este, é que vai indicar</w:t>
      </w:r>
      <w:r w:rsidR="00E2018E">
        <w:t>,</w:t>
      </w:r>
      <w:r>
        <w:t xml:space="preserve"> qual será a qualificação exigida, decretará as diretrizes e a forma de apresentação </w:t>
      </w:r>
      <w:r w:rsidR="00E2018E">
        <w:t>do trabalho, firmará as circunstâncias da realização dos trabalhos, e os prêmios a serem oferecidos, formará a comissão julgadora e determinará os critérios de julgamento. Afirma ainda que, essa modalidade deve ser anunciada através de edital, com vasta divulgação pela imprensa oficial e particular, com um prazo mínimo de quarenta e cinco dias.</w:t>
      </w:r>
    </w:p>
    <w:p w14:paraId="769DD7A9" w14:textId="17C57B1B" w:rsidR="00A848CA" w:rsidRDefault="00A848CA" w:rsidP="006E5406">
      <w:pPr>
        <w:pStyle w:val="UnidaviSeoTerciria"/>
      </w:pPr>
    </w:p>
    <w:p w14:paraId="330ED971" w14:textId="3E30871C" w:rsidR="00E2018E" w:rsidRDefault="00E2018E" w:rsidP="006E5406">
      <w:pPr>
        <w:pStyle w:val="UnidaviSeoTerciria"/>
      </w:pPr>
      <w:r>
        <w:lastRenderedPageBreak/>
        <w:t>2.5.5 Leilão</w:t>
      </w:r>
    </w:p>
    <w:p w14:paraId="1A408863" w14:textId="51086658" w:rsidR="00E2018E" w:rsidRDefault="00E2018E" w:rsidP="006E5406">
      <w:pPr>
        <w:pStyle w:val="UnidaviSeoTerciria"/>
      </w:pPr>
    </w:p>
    <w:p w14:paraId="43B7D4D0" w14:textId="3E0DD80B" w:rsidR="00CF0C64" w:rsidRDefault="00CF0C64" w:rsidP="006E5406">
      <w:pPr>
        <w:pStyle w:val="UnidaviTexto-Espao15"/>
      </w:pPr>
      <w:r>
        <w:t>Conforme Marçal (2008, p. 366), “O Leilão se peculiariza pela concentração, em uma única oportunidade, de diversos atos destinados à seleção da proposta mais vantajosa. Além disso, o leilão de diferencia pela possibilidade de multiplicação de propostas por parte de um mesmo interessado.”.</w:t>
      </w:r>
    </w:p>
    <w:p w14:paraId="7573AFEF" w14:textId="77777777" w:rsidR="00CF0C64" w:rsidRDefault="00CF0C64" w:rsidP="00213346">
      <w:pPr>
        <w:pStyle w:val="UnidaviTexto-Espao15"/>
        <w:ind w:firstLine="0"/>
      </w:pPr>
    </w:p>
    <w:p w14:paraId="4AC0705C" w14:textId="44EDEB64" w:rsidR="00FF3D2C" w:rsidRDefault="00283BDD" w:rsidP="00D92066">
      <w:pPr>
        <w:pStyle w:val="UnidaviCitaoLonga"/>
      </w:pPr>
      <w:r w:rsidRPr="00D92066">
        <w:t>Leilão é a modalidade de licitação entre quaisquer interessados para a venda de bens móveis inservíveis para a administração ou de produtos legalmente apreendidos ou penhorados, ou para alienação de bens imóveis, prevista no art. 19, a quem oferecer maior lance, igual ou superior ao valor da avaliação.</w:t>
      </w:r>
      <w:r w:rsidR="001F28C8">
        <w:t xml:space="preserve"> (LEI</w:t>
      </w:r>
      <w:r w:rsidR="005E5B77" w:rsidRPr="00D92066">
        <w:t xml:space="preserve"> </w:t>
      </w:r>
      <w:r w:rsidR="00BF73D3">
        <w:t xml:space="preserve">nº </w:t>
      </w:r>
      <w:r w:rsidR="005E5B77" w:rsidRPr="00D92066">
        <w:t>8.66/93, Art. 22 § 5º).</w:t>
      </w:r>
    </w:p>
    <w:p w14:paraId="19718FE0" w14:textId="5F3B86F1" w:rsidR="00D92066" w:rsidRDefault="00D92066" w:rsidP="006E5406">
      <w:pPr>
        <w:pStyle w:val="UnidaviCitaoLonga"/>
        <w:spacing w:line="360" w:lineRule="auto"/>
        <w:ind w:left="0"/>
      </w:pPr>
    </w:p>
    <w:p w14:paraId="0764B82D" w14:textId="71821548" w:rsidR="000A11F2" w:rsidRDefault="00D92066" w:rsidP="0004261B">
      <w:pPr>
        <w:pStyle w:val="UnidaviTexto-Espao15"/>
      </w:pPr>
      <w:r>
        <w:t>Segundo Amorim</w:t>
      </w:r>
      <w:r w:rsidR="00077E98">
        <w:t xml:space="preserve"> (2017) a modalidade leilão deve ser aplicada nas seguintes situações conforme descritas no Quadro 7.</w:t>
      </w:r>
    </w:p>
    <w:p w14:paraId="267771E1" w14:textId="77777777" w:rsidR="00213346" w:rsidRPr="00D92066" w:rsidRDefault="00213346" w:rsidP="00213346">
      <w:pPr>
        <w:pStyle w:val="UnidaviTexto-Espao15"/>
        <w:ind w:firstLine="0"/>
      </w:pPr>
    </w:p>
    <w:p w14:paraId="2146FF44" w14:textId="2EDA6423" w:rsidR="000A11F2" w:rsidRPr="00D92066" w:rsidRDefault="00D92066" w:rsidP="00617B2B">
      <w:pPr>
        <w:pStyle w:val="UnidaviCitaoLonga"/>
        <w:ind w:left="284"/>
        <w:rPr>
          <w:b/>
        </w:rPr>
      </w:pPr>
      <w:r w:rsidRPr="00D92066">
        <w:rPr>
          <w:b/>
        </w:rPr>
        <w:t xml:space="preserve">Quadro 7 - Situações em que se aplica a modalidade leilão </w:t>
      </w:r>
    </w:p>
    <w:tbl>
      <w:tblPr>
        <w:tblStyle w:val="Tabelacomgrade"/>
        <w:tblW w:w="8221" w:type="dxa"/>
        <w:tblInd w:w="279" w:type="dxa"/>
        <w:tblLook w:val="04A0" w:firstRow="1" w:lastRow="0" w:firstColumn="1" w:lastColumn="0" w:noHBand="0" w:noVBand="1"/>
      </w:tblPr>
      <w:tblGrid>
        <w:gridCol w:w="2626"/>
        <w:gridCol w:w="5595"/>
      </w:tblGrid>
      <w:tr w:rsidR="000A11F2" w:rsidRPr="00D92066" w14:paraId="6A7DCB69" w14:textId="77777777" w:rsidTr="00A848CA">
        <w:trPr>
          <w:trHeight w:val="1121"/>
        </w:trPr>
        <w:tc>
          <w:tcPr>
            <w:tcW w:w="2626" w:type="dxa"/>
          </w:tcPr>
          <w:p w14:paraId="21EE742C" w14:textId="77777777" w:rsidR="00D92066" w:rsidRPr="00D92066" w:rsidRDefault="00D92066" w:rsidP="00D92066">
            <w:pPr>
              <w:pStyle w:val="UnidaviCitaoLonga"/>
            </w:pPr>
          </w:p>
          <w:p w14:paraId="502D80A1" w14:textId="77777777" w:rsidR="00D92066" w:rsidRPr="00D92066" w:rsidRDefault="00D92066" w:rsidP="00D92066">
            <w:pPr>
              <w:pStyle w:val="UnidaviCitaoLonga"/>
            </w:pPr>
          </w:p>
          <w:p w14:paraId="2DD515B5" w14:textId="77777777" w:rsidR="00D92066" w:rsidRPr="00D92066" w:rsidRDefault="00D92066" w:rsidP="00D92066">
            <w:pPr>
              <w:pStyle w:val="UnidaviCitaoLonga"/>
            </w:pPr>
          </w:p>
          <w:p w14:paraId="4B8D3279" w14:textId="4DA45D3C" w:rsidR="000A11F2" w:rsidRPr="00CF34A4" w:rsidRDefault="00E63367" w:rsidP="00E63367">
            <w:pPr>
              <w:pStyle w:val="UnidaviCitaoLonga"/>
              <w:ind w:left="0"/>
              <w:rPr>
                <w:b/>
              </w:rPr>
            </w:pPr>
            <w:r>
              <w:rPr>
                <w:b/>
              </w:rPr>
              <w:t xml:space="preserve">                </w:t>
            </w:r>
            <w:r w:rsidR="000A11F2" w:rsidRPr="00CF34A4">
              <w:rPr>
                <w:b/>
              </w:rPr>
              <w:t>Leilão</w:t>
            </w:r>
          </w:p>
        </w:tc>
        <w:tc>
          <w:tcPr>
            <w:tcW w:w="5595" w:type="dxa"/>
          </w:tcPr>
          <w:p w14:paraId="18623E9A" w14:textId="196730E0" w:rsidR="000A11F2" w:rsidRPr="00D92066" w:rsidRDefault="000A11F2" w:rsidP="00A848CA">
            <w:pPr>
              <w:pStyle w:val="UnidaviCitaoLonga"/>
              <w:ind w:left="0"/>
            </w:pPr>
            <w:r w:rsidRPr="00D92066">
              <w:t>Venda de bens móveis inservíveis para a Administração;</w:t>
            </w:r>
          </w:p>
          <w:p w14:paraId="26CAB587" w14:textId="77777777" w:rsidR="00D92066" w:rsidRPr="00D92066" w:rsidRDefault="00D92066" w:rsidP="00A848CA">
            <w:pPr>
              <w:pStyle w:val="UnidaviCitaoLonga"/>
            </w:pPr>
          </w:p>
          <w:p w14:paraId="686671B5" w14:textId="535018A0" w:rsidR="000A11F2" w:rsidRPr="00D92066" w:rsidRDefault="000A11F2" w:rsidP="00A848CA">
            <w:pPr>
              <w:pStyle w:val="UnidaviCitaoLonga"/>
              <w:ind w:left="0"/>
            </w:pPr>
            <w:r w:rsidRPr="00D92066">
              <w:t>Venda de bens imóveis avaliados, isolada ou globalmente, até 650.000;</w:t>
            </w:r>
          </w:p>
          <w:p w14:paraId="42CD9F39" w14:textId="77777777" w:rsidR="00D92066" w:rsidRPr="00D92066" w:rsidRDefault="00D92066" w:rsidP="00A848CA">
            <w:pPr>
              <w:pStyle w:val="UnidaviCitaoLonga"/>
            </w:pPr>
          </w:p>
          <w:p w14:paraId="6ACA7FF9" w14:textId="2446EC0F" w:rsidR="000A11F2" w:rsidRPr="00D92066" w:rsidRDefault="000A11F2" w:rsidP="00A848CA">
            <w:pPr>
              <w:pStyle w:val="UnidaviCitaoLonga"/>
              <w:ind w:left="0"/>
            </w:pPr>
            <w:r w:rsidRPr="00D92066">
              <w:t>Venda de produtos legalmente apreendidos ou penhorados</w:t>
            </w:r>
            <w:r w:rsidR="00D92066" w:rsidRPr="00D92066">
              <w:t>;</w:t>
            </w:r>
          </w:p>
          <w:p w14:paraId="4FDAC69A" w14:textId="77777777" w:rsidR="00D92066" w:rsidRPr="00D92066" w:rsidRDefault="00D92066" w:rsidP="00A848CA">
            <w:pPr>
              <w:pStyle w:val="UnidaviCitaoLonga"/>
            </w:pPr>
          </w:p>
          <w:p w14:paraId="02D618B0" w14:textId="49488F60" w:rsidR="00D92066" w:rsidRPr="00D92066" w:rsidRDefault="00D92066" w:rsidP="00A848CA">
            <w:pPr>
              <w:pStyle w:val="UnidaviCitaoLonga"/>
              <w:ind w:left="0"/>
            </w:pPr>
            <w:r w:rsidRPr="00D92066">
              <w:t>Alienação de bens imóveis cuja aquisição haja derivado de procedimentos judiciais ou de dação em pagamento.</w:t>
            </w:r>
          </w:p>
        </w:tc>
      </w:tr>
    </w:tbl>
    <w:p w14:paraId="3F677AC8" w14:textId="00FA6B04" w:rsidR="00CF0C64" w:rsidRDefault="00D92066" w:rsidP="00617B2B">
      <w:pPr>
        <w:pStyle w:val="UnidaviCitaoLonga"/>
        <w:ind w:left="284"/>
      </w:pPr>
      <w:r w:rsidRPr="007E1E17">
        <w:t xml:space="preserve">Fonte: </w:t>
      </w:r>
      <w:r>
        <w:t xml:space="preserve">Elaborado a partir de </w:t>
      </w:r>
      <w:r w:rsidRPr="007E1E17">
        <w:t>Licitaçõ</w:t>
      </w:r>
      <w:r>
        <w:t>es e</w:t>
      </w:r>
      <w:r w:rsidR="00077E98">
        <w:t xml:space="preserve"> Contratos Administrativos (2017</w:t>
      </w:r>
      <w:r>
        <w:t>)</w:t>
      </w:r>
    </w:p>
    <w:p w14:paraId="455CFDCC" w14:textId="793641CD" w:rsidR="00CF0C64" w:rsidRDefault="00CF0C64" w:rsidP="006E5406">
      <w:pPr>
        <w:pStyle w:val="UnidaviCitaoLonga"/>
        <w:spacing w:line="360" w:lineRule="auto"/>
        <w:ind w:left="0"/>
      </w:pPr>
    </w:p>
    <w:p w14:paraId="3331CB35" w14:textId="323B35B9" w:rsidR="0045533C" w:rsidRDefault="00CF0C64" w:rsidP="006E5406">
      <w:pPr>
        <w:pStyle w:val="UnidaviTexto-Espao15"/>
      </w:pPr>
      <w:r>
        <w:t xml:space="preserve">Ainda segundo Marçal (2008), nessa modalidade, os interessados devem aparecer na data preestabelecida </w:t>
      </w:r>
      <w:r w:rsidR="0045533C">
        <w:t>para o leilão, e formar verbalmente suas propostas. O policitante fica vinculado por sua proposta, até que uma melhor proposta seja feita, e assim, será dada como vencedora, a maior proposta. Nessa modalidade, a fase de habilitação é considerada desnecessária, ao invés disso, a administração poderá solicitar uma comprovação do interessado, para saber ele realmente poderá cumprir com sua proposta.</w:t>
      </w:r>
    </w:p>
    <w:p w14:paraId="2488B6C1" w14:textId="77777777" w:rsidR="005E5B77" w:rsidRDefault="005E5B77" w:rsidP="00213346">
      <w:pPr>
        <w:pStyle w:val="UnidaviTexto-Espao15"/>
        <w:ind w:firstLine="0"/>
      </w:pPr>
    </w:p>
    <w:p w14:paraId="034B9670" w14:textId="19C7602C" w:rsidR="005E5B77" w:rsidRDefault="00CA30D3" w:rsidP="006E5406">
      <w:pPr>
        <w:pStyle w:val="UnidaviCitaoLonga"/>
      </w:pPr>
      <w:r>
        <w:t>A administração poderá valer-se de dois tipos de leilão: o comum, privativo de leiloeiro oficial, onde houver; e o administrativo propriamente dito. O leilão comum é regido pela legislação federal pertinente, mas as condições de sua realização poderão ser estabelecidas pela Administração interessada; o leilão administrativo é o instituído para a venda de mercadorias apreendidas como contrabando, ou abandonadas nas alfândegas, nos armazéns ferroviários ou nas repartições públicas em geral, observadas as normas regulamentares da Administraç</w:t>
      </w:r>
      <w:r w:rsidR="005E5B77">
        <w:t>ão interessada.</w:t>
      </w:r>
      <w:r>
        <w:t xml:space="preserve"> </w:t>
      </w:r>
      <w:r w:rsidR="00704715">
        <w:t xml:space="preserve"> (MEIRELLES, 2006, p</w:t>
      </w:r>
      <w:r w:rsidR="005E5B77">
        <w:t>. 323).</w:t>
      </w:r>
    </w:p>
    <w:p w14:paraId="3A51023D" w14:textId="42019E0E" w:rsidR="005E5B77" w:rsidRDefault="005E5B77" w:rsidP="00213346">
      <w:pPr>
        <w:pStyle w:val="UnidaviCitaoLonga"/>
        <w:spacing w:line="360" w:lineRule="auto"/>
        <w:ind w:left="0"/>
      </w:pPr>
    </w:p>
    <w:p w14:paraId="53195C25" w14:textId="2CAC5249" w:rsidR="005E5B77" w:rsidRPr="00341652" w:rsidRDefault="00077E98" w:rsidP="006E5406">
      <w:pPr>
        <w:pStyle w:val="UnidaviTexto-Espao15"/>
      </w:pPr>
      <w:r>
        <w:lastRenderedPageBreak/>
        <w:t>Para encerrar, conforme Bacellar (2007), “Inservibilidade não é não é sinônimo de imprestabilidade, já que o que é inservível para a Administração pode ser bem utilizado pelo particular interessado.”.</w:t>
      </w:r>
    </w:p>
    <w:p w14:paraId="48390FA5" w14:textId="6BB6363D" w:rsidR="008C4DBF" w:rsidRDefault="008C4DBF" w:rsidP="006E5406">
      <w:pPr>
        <w:pStyle w:val="UnidaviTexto-Espao15"/>
        <w:ind w:firstLine="0"/>
      </w:pPr>
    </w:p>
    <w:p w14:paraId="69181344" w14:textId="6C37D25D" w:rsidR="008C4DBF" w:rsidRDefault="008C4DBF" w:rsidP="006E5406">
      <w:pPr>
        <w:pStyle w:val="UnidaviSeoTerciria"/>
      </w:pPr>
      <w:r>
        <w:t>2.5.6 Pregão</w:t>
      </w:r>
    </w:p>
    <w:p w14:paraId="348E31E5" w14:textId="15928F9D" w:rsidR="008C4DBF" w:rsidRDefault="008C4DBF" w:rsidP="006E5406">
      <w:pPr>
        <w:pStyle w:val="UnidaviSeoTerciria"/>
      </w:pPr>
    </w:p>
    <w:p w14:paraId="329C2592" w14:textId="50A83893" w:rsidR="008C4DBF" w:rsidRDefault="00075561" w:rsidP="006E5406">
      <w:pPr>
        <w:pStyle w:val="UnidaviTexto-Espao15"/>
      </w:pPr>
      <w:r>
        <w:t>Mello (2007, p. 543) desc</w:t>
      </w:r>
      <w:r w:rsidR="00157585">
        <w:t>reve a modalidade pregão como “</w:t>
      </w:r>
      <w:r>
        <w:t>A modalidade de licitação para aquisição de bens e serviços comuns qualquer que seja o valor estimado da contratação, em que a disputa pelo fornecimento é feita por meio de propostas e lances em sessão pública.”.</w:t>
      </w:r>
    </w:p>
    <w:p w14:paraId="3DF34D61" w14:textId="7840CD99" w:rsidR="002B0694" w:rsidRDefault="001F28C8" w:rsidP="006E5406">
      <w:pPr>
        <w:pStyle w:val="UnidaviTexto-Espao15"/>
      </w:pPr>
      <w:r>
        <w:t xml:space="preserve">A Lei </w:t>
      </w:r>
      <w:r w:rsidR="00BF73D3">
        <w:t xml:space="preserve">nº </w:t>
      </w:r>
      <w:r>
        <w:t>10.520/2002, a</w:t>
      </w:r>
      <w:r w:rsidR="002B0694">
        <w:t>rt.1º § único descreve “Consideram-se bens e serviços comuns, para fins e efeitos desse artigo, aqueles cujos padrões de desempenho e qualidade possam ser objetivamente definidos pelo edital, por meio de especificações usuais no mercado.”.</w:t>
      </w:r>
    </w:p>
    <w:p w14:paraId="6D1EA535" w14:textId="7A319191" w:rsidR="00F56392" w:rsidRDefault="002B0694" w:rsidP="0004261B">
      <w:pPr>
        <w:pStyle w:val="UnidaviTexto-Espao15"/>
      </w:pPr>
      <w:r>
        <w:t xml:space="preserve">Segundo Di Pietro </w:t>
      </w:r>
      <w:r w:rsidR="002776CC">
        <w:t>(2008), a modalidade pregão semelhante às outras modalidades, pois acontece por meio de atos praticados pela Administração Pública e também pelos licitantes, seguindo todas as regras do respectivo processo, que é composto por duas fases. A fase interna, também chamada de fase preparatória, que antecede a abertura do procedimento ao p</w:t>
      </w:r>
      <w:r w:rsidR="003211CA">
        <w:t>úblico, é composta por algumas exigências. Essas exigências estão</w:t>
      </w:r>
      <w:r w:rsidR="002776CC">
        <w:t xml:space="preserve"> descrita</w:t>
      </w:r>
      <w:r w:rsidR="003211CA">
        <w:t>s</w:t>
      </w:r>
      <w:r w:rsidR="002776CC">
        <w:t xml:space="preserve"> na Lei </w:t>
      </w:r>
      <w:r w:rsidR="00BF73D3">
        <w:t xml:space="preserve">nº </w:t>
      </w:r>
      <w:r w:rsidR="002776CC">
        <w:t xml:space="preserve">10.520/02, </w:t>
      </w:r>
      <w:r w:rsidR="003211CA">
        <w:t>conforme apresentadas no Quadro 8.</w:t>
      </w:r>
      <w:r w:rsidR="00F56392">
        <w:t xml:space="preserve"> </w:t>
      </w:r>
    </w:p>
    <w:p w14:paraId="7DC76DE7" w14:textId="55E67208" w:rsidR="00F92383" w:rsidRDefault="00F92383" w:rsidP="004E5221">
      <w:pPr>
        <w:pStyle w:val="UnidaviTexto-Espao15"/>
        <w:spacing w:line="240" w:lineRule="auto"/>
        <w:ind w:firstLine="0"/>
        <w:contextualSpacing/>
        <w:rPr>
          <w:b/>
          <w:sz w:val="20"/>
        </w:rPr>
      </w:pPr>
    </w:p>
    <w:p w14:paraId="00F76805" w14:textId="496333CF" w:rsidR="003211CA" w:rsidRPr="00F56392" w:rsidRDefault="00F56392" w:rsidP="00617B2B">
      <w:pPr>
        <w:pStyle w:val="UnidaviTexto-Espao15"/>
        <w:spacing w:line="240" w:lineRule="auto"/>
        <w:ind w:left="284" w:firstLine="0"/>
        <w:contextualSpacing/>
        <w:rPr>
          <w:b/>
          <w:sz w:val="20"/>
        </w:rPr>
      </w:pPr>
      <w:r w:rsidRPr="00F56392">
        <w:rPr>
          <w:b/>
          <w:sz w:val="20"/>
        </w:rPr>
        <w:t xml:space="preserve">Quadro 8 – Exigências da fase interna da modalidade pregão  </w:t>
      </w:r>
    </w:p>
    <w:tbl>
      <w:tblPr>
        <w:tblStyle w:val="Tabelacomgrade"/>
        <w:tblW w:w="8221" w:type="dxa"/>
        <w:tblInd w:w="279" w:type="dxa"/>
        <w:tblLook w:val="04A0" w:firstRow="1" w:lastRow="0" w:firstColumn="1" w:lastColumn="0" w:noHBand="0" w:noVBand="1"/>
      </w:tblPr>
      <w:tblGrid>
        <w:gridCol w:w="2835"/>
        <w:gridCol w:w="5386"/>
      </w:tblGrid>
      <w:tr w:rsidR="003211CA" w14:paraId="4886FBB9" w14:textId="77777777" w:rsidTr="00A848CA">
        <w:trPr>
          <w:trHeight w:val="562"/>
        </w:trPr>
        <w:tc>
          <w:tcPr>
            <w:tcW w:w="2835" w:type="dxa"/>
          </w:tcPr>
          <w:p w14:paraId="487D7083" w14:textId="77777777" w:rsidR="00F56392" w:rsidRDefault="00F56392" w:rsidP="00CF0C64">
            <w:pPr>
              <w:pStyle w:val="UnidaviTexto-Espao15"/>
              <w:ind w:firstLine="0"/>
              <w:contextualSpacing/>
              <w:rPr>
                <w:sz w:val="20"/>
              </w:rPr>
            </w:pPr>
          </w:p>
          <w:p w14:paraId="0D5B9A8B" w14:textId="77777777" w:rsidR="00F56392" w:rsidRDefault="00F56392" w:rsidP="00CF0C64">
            <w:pPr>
              <w:pStyle w:val="UnidaviTexto-Espao15"/>
              <w:ind w:firstLine="0"/>
              <w:contextualSpacing/>
              <w:rPr>
                <w:sz w:val="20"/>
              </w:rPr>
            </w:pPr>
          </w:p>
          <w:p w14:paraId="3A67F35D" w14:textId="77777777" w:rsidR="00F56392" w:rsidRDefault="00F56392" w:rsidP="00CF0C64">
            <w:pPr>
              <w:pStyle w:val="UnidaviTexto-Espao15"/>
              <w:ind w:firstLine="0"/>
              <w:contextualSpacing/>
              <w:rPr>
                <w:sz w:val="20"/>
              </w:rPr>
            </w:pPr>
          </w:p>
          <w:p w14:paraId="28310FA8" w14:textId="62728447" w:rsidR="00F56392" w:rsidRDefault="00F56392" w:rsidP="00CF0C64">
            <w:pPr>
              <w:pStyle w:val="UnidaviTexto-Espao15"/>
              <w:ind w:firstLine="0"/>
              <w:contextualSpacing/>
              <w:rPr>
                <w:sz w:val="20"/>
              </w:rPr>
            </w:pPr>
          </w:p>
          <w:p w14:paraId="611CA21D" w14:textId="77777777" w:rsidR="00F56392" w:rsidRDefault="00F56392" w:rsidP="00CF0C64">
            <w:pPr>
              <w:pStyle w:val="UnidaviTexto-Espao15"/>
              <w:ind w:firstLine="0"/>
              <w:contextualSpacing/>
              <w:rPr>
                <w:sz w:val="20"/>
              </w:rPr>
            </w:pPr>
          </w:p>
          <w:p w14:paraId="0AB550BF" w14:textId="77777777" w:rsidR="00F56392" w:rsidRPr="00F56392" w:rsidRDefault="00F56392" w:rsidP="00F56392">
            <w:pPr>
              <w:pStyle w:val="UnidaviTexto-Espao15"/>
              <w:ind w:firstLine="0"/>
              <w:contextualSpacing/>
              <w:jc w:val="center"/>
              <w:rPr>
                <w:b/>
                <w:sz w:val="20"/>
              </w:rPr>
            </w:pPr>
          </w:p>
          <w:p w14:paraId="1F8EB065" w14:textId="097C9037" w:rsidR="003211CA" w:rsidRPr="00F56392" w:rsidRDefault="003211CA" w:rsidP="00F56392">
            <w:pPr>
              <w:pStyle w:val="UnidaviTexto-Espao15"/>
              <w:ind w:firstLine="0"/>
              <w:contextualSpacing/>
              <w:jc w:val="center"/>
              <w:rPr>
                <w:b/>
                <w:sz w:val="20"/>
              </w:rPr>
            </w:pPr>
            <w:r w:rsidRPr="00F56392">
              <w:rPr>
                <w:b/>
                <w:sz w:val="20"/>
              </w:rPr>
              <w:t>Fase interna da Modalidade Pregão</w:t>
            </w:r>
          </w:p>
          <w:p w14:paraId="78F3B16F" w14:textId="114BAF3F" w:rsidR="00F56392" w:rsidRDefault="00F56392" w:rsidP="00CF0C64">
            <w:pPr>
              <w:pStyle w:val="UnidaviTexto-Espao15"/>
              <w:ind w:firstLine="0"/>
              <w:contextualSpacing/>
            </w:pPr>
          </w:p>
        </w:tc>
        <w:tc>
          <w:tcPr>
            <w:tcW w:w="5386" w:type="dxa"/>
          </w:tcPr>
          <w:p w14:paraId="54993B89" w14:textId="68C99407" w:rsidR="003211CA" w:rsidRPr="00455DA1" w:rsidRDefault="003211CA" w:rsidP="00A848CA">
            <w:pPr>
              <w:pStyle w:val="UnidaviTexto-Espao15"/>
              <w:spacing w:line="240" w:lineRule="auto"/>
              <w:ind w:firstLine="0"/>
              <w:contextualSpacing/>
              <w:rPr>
                <w:sz w:val="20"/>
              </w:rPr>
            </w:pPr>
            <w:r w:rsidRPr="00455DA1">
              <w:rPr>
                <w:sz w:val="20"/>
              </w:rPr>
              <w:t>I –</w:t>
            </w:r>
            <w:r w:rsidR="00455DA1" w:rsidRPr="00455DA1">
              <w:rPr>
                <w:sz w:val="20"/>
              </w:rPr>
              <w:t xml:space="preserve"> A</w:t>
            </w:r>
            <w:r w:rsidRPr="00455DA1">
              <w:rPr>
                <w:sz w:val="20"/>
              </w:rPr>
              <w:t xml:space="preserve"> autoridade competente justificará a necessidade</w:t>
            </w:r>
            <w:r w:rsidR="00455DA1" w:rsidRPr="00455DA1">
              <w:rPr>
                <w:sz w:val="20"/>
              </w:rPr>
              <w:t xml:space="preserve"> de contratação e definirá o objeto do certame, as exigências de habilitação, os critérios de aceitação das propostas, as sanções por inadimplemento e as cláusulas do contrato, inclusive com fixação dos prazos para fornecimento;</w:t>
            </w:r>
            <w:r w:rsidRPr="00455DA1">
              <w:rPr>
                <w:sz w:val="20"/>
              </w:rPr>
              <w:t xml:space="preserve"> </w:t>
            </w:r>
          </w:p>
          <w:p w14:paraId="2B817570" w14:textId="77777777" w:rsidR="00455DA1" w:rsidRDefault="00455DA1" w:rsidP="00A848CA">
            <w:pPr>
              <w:pStyle w:val="UnidaviTexto-Espao15"/>
              <w:spacing w:line="240" w:lineRule="auto"/>
              <w:ind w:firstLine="0"/>
              <w:contextualSpacing/>
            </w:pPr>
          </w:p>
          <w:p w14:paraId="1F6EE24A" w14:textId="77777777" w:rsidR="00455DA1" w:rsidRDefault="00455DA1" w:rsidP="00A848CA">
            <w:pPr>
              <w:pStyle w:val="UnidaviTexto-Espao15"/>
              <w:spacing w:line="240" w:lineRule="auto"/>
              <w:ind w:firstLine="0"/>
              <w:contextualSpacing/>
              <w:rPr>
                <w:sz w:val="20"/>
                <w:szCs w:val="20"/>
              </w:rPr>
            </w:pPr>
            <w:r w:rsidRPr="00455DA1">
              <w:rPr>
                <w:sz w:val="20"/>
                <w:szCs w:val="20"/>
              </w:rPr>
              <w:t>II – A definição do objeto deverá ser precisa, suficiente e clara, vedadas especificações que, por excessivas, irrelevantes ou desnecessárias, limitem a competição;</w:t>
            </w:r>
          </w:p>
          <w:p w14:paraId="228058E1" w14:textId="77777777" w:rsidR="00455DA1" w:rsidRDefault="00455DA1" w:rsidP="00A848CA">
            <w:pPr>
              <w:pStyle w:val="UnidaviTexto-Espao15"/>
              <w:spacing w:line="240" w:lineRule="auto"/>
              <w:ind w:firstLine="0"/>
              <w:contextualSpacing/>
              <w:rPr>
                <w:sz w:val="20"/>
                <w:szCs w:val="20"/>
              </w:rPr>
            </w:pPr>
          </w:p>
          <w:p w14:paraId="062CB466" w14:textId="77777777" w:rsidR="00455DA1" w:rsidRDefault="00455DA1" w:rsidP="00A848CA">
            <w:pPr>
              <w:pStyle w:val="UnidaviTexto-Espao15"/>
              <w:spacing w:line="240" w:lineRule="auto"/>
              <w:ind w:firstLine="0"/>
              <w:contextualSpacing/>
              <w:rPr>
                <w:sz w:val="20"/>
                <w:szCs w:val="20"/>
              </w:rPr>
            </w:pPr>
            <w:r>
              <w:rPr>
                <w:sz w:val="20"/>
                <w:szCs w:val="20"/>
              </w:rPr>
              <w:t>III – Dos autos do procedimento constarão a justificativa das definições referidas no inciso I deste artigo e os indispensáveis elementos técnicos sobre os quais estiverem apoiados, bem como o orçamento, elaborado pelo órgão ou entidade promotora da licitação, dos bens ou serviços a serem licitados; e</w:t>
            </w:r>
          </w:p>
          <w:p w14:paraId="0D9DED64" w14:textId="77777777" w:rsidR="00455DA1" w:rsidRDefault="00455DA1" w:rsidP="00A848CA">
            <w:pPr>
              <w:pStyle w:val="UnidaviTexto-Espao15"/>
              <w:spacing w:line="240" w:lineRule="auto"/>
              <w:ind w:firstLine="0"/>
              <w:contextualSpacing/>
              <w:rPr>
                <w:sz w:val="20"/>
                <w:szCs w:val="20"/>
              </w:rPr>
            </w:pPr>
          </w:p>
          <w:p w14:paraId="37EADF58" w14:textId="6420F16E" w:rsidR="00455DA1" w:rsidRPr="00455DA1" w:rsidRDefault="00455DA1" w:rsidP="00A848CA">
            <w:pPr>
              <w:pStyle w:val="UnidaviTexto-Espao15"/>
              <w:spacing w:line="240" w:lineRule="auto"/>
              <w:ind w:firstLine="0"/>
              <w:contextualSpacing/>
              <w:rPr>
                <w:sz w:val="20"/>
                <w:szCs w:val="20"/>
              </w:rPr>
            </w:pPr>
            <w:r>
              <w:rPr>
                <w:sz w:val="20"/>
                <w:szCs w:val="20"/>
              </w:rPr>
              <w:t xml:space="preserve">IV – A autoridade competente designará, dentre os servidores do órgão ou entidade promotora da licitação, o pregoeiro e respectiva equipe de apoio, cuja atribuição </w:t>
            </w:r>
            <w:r w:rsidR="00F56392">
              <w:rPr>
                <w:sz w:val="20"/>
                <w:szCs w:val="20"/>
              </w:rPr>
              <w:t xml:space="preserve">inclui, dentre outras, o recebimento das propostas e lances, a análise de sua aceitabilidade e sua classificação, bem como a habilitação e a adjudicação do objeto do certame ao licitante vencedor. </w:t>
            </w:r>
          </w:p>
        </w:tc>
      </w:tr>
    </w:tbl>
    <w:p w14:paraId="09D33347" w14:textId="3AD550D0" w:rsidR="00F56392" w:rsidRDefault="00F56392" w:rsidP="00617B2B">
      <w:pPr>
        <w:pStyle w:val="UnidaviCitaoLonga"/>
        <w:ind w:left="284"/>
        <w:contextualSpacing/>
      </w:pPr>
      <w:r w:rsidRPr="007E1E17">
        <w:t xml:space="preserve">Fonte: </w:t>
      </w:r>
      <w:r>
        <w:t>Elaborado a partir da Lei nº 10.520/02</w:t>
      </w:r>
    </w:p>
    <w:p w14:paraId="28751470" w14:textId="04A9E4C9" w:rsidR="003211CA" w:rsidRDefault="003211CA" w:rsidP="006E5406">
      <w:pPr>
        <w:pStyle w:val="UnidaviTexto-Espao15"/>
      </w:pPr>
    </w:p>
    <w:p w14:paraId="76C0CB78" w14:textId="198B0428" w:rsidR="00396A24" w:rsidRPr="00835566" w:rsidRDefault="00396A24" w:rsidP="006E5406">
      <w:pPr>
        <w:pStyle w:val="UnidaviTexto-Espao15"/>
        <w:rPr>
          <w:sz w:val="20"/>
        </w:rPr>
      </w:pPr>
      <w:r>
        <w:t xml:space="preserve">Já a fase externa, começa com divulgação do aviso do edital de convocação. Essa é um pouco mais complexa, mas que a Lei </w:t>
      </w:r>
      <w:r w:rsidR="00BF73D3">
        <w:t xml:space="preserve">nº </w:t>
      </w:r>
      <w:r>
        <w:t xml:space="preserve">10.520/02 descreve quais regras devem ser seguidas, </w:t>
      </w:r>
      <w:r w:rsidR="00654555">
        <w:t xml:space="preserve">as quais resumidamente são: publicação do edital, o julgamento e classificação das propostas, </w:t>
      </w:r>
      <w:r w:rsidR="007E0465">
        <w:t xml:space="preserve">habilitação do licitante vencedor, adjudicação, homologação e designação do pregoeiro, </w:t>
      </w:r>
      <w:r>
        <w:t xml:space="preserve">conforme apresentadas </w:t>
      </w:r>
      <w:r w:rsidR="00654555">
        <w:t>no Art. 4</w:t>
      </w:r>
      <w:r w:rsidR="00654555">
        <w:rPr>
          <w:sz w:val="20"/>
        </w:rPr>
        <w:t xml:space="preserve">º </w:t>
      </w:r>
      <w:r w:rsidR="00654555">
        <w:t>d</w:t>
      </w:r>
      <w:r w:rsidR="00654555" w:rsidRPr="00654555">
        <w:t>os inciso</w:t>
      </w:r>
      <w:r w:rsidR="00654555">
        <w:t>s I ao XXIII.</w:t>
      </w:r>
    </w:p>
    <w:p w14:paraId="262399DE" w14:textId="71CAD465" w:rsidR="00045D28" w:rsidRDefault="00157585" w:rsidP="00045D28">
      <w:pPr>
        <w:pStyle w:val="UnidaviTexto-Espao15"/>
      </w:pPr>
      <w:r>
        <w:t>Di Pietro (2008) afirma “</w:t>
      </w:r>
      <w:r w:rsidR="00835566">
        <w:t>Como se verifica, são as mesmas fases da concorrência, com a peculiaridade de que o pregão contém uma inversão de fases de classificação e habilitação.”.</w:t>
      </w:r>
      <w:r w:rsidR="000A7438">
        <w:t xml:space="preserve"> </w:t>
      </w:r>
    </w:p>
    <w:p w14:paraId="4727F5C5" w14:textId="7DB07EC5" w:rsidR="006F63A4" w:rsidRDefault="006F63A4" w:rsidP="00213B0F">
      <w:pPr>
        <w:pStyle w:val="UnidaviTexto-Espao15"/>
        <w:ind w:firstLine="0"/>
      </w:pPr>
      <w:r>
        <w:t>Existe ainda o pregão eletrônico como descreve Meirelles (2006):</w:t>
      </w:r>
    </w:p>
    <w:p w14:paraId="07032FAF" w14:textId="77777777" w:rsidR="006F63A4" w:rsidRDefault="006F63A4" w:rsidP="00213346">
      <w:pPr>
        <w:pStyle w:val="UnidaviTexto-Espao15"/>
        <w:ind w:firstLine="0"/>
      </w:pPr>
    </w:p>
    <w:p w14:paraId="5C20B142" w14:textId="4FD0EDE1" w:rsidR="00045D28" w:rsidRDefault="00045D28" w:rsidP="006F63A4">
      <w:pPr>
        <w:pStyle w:val="UnidaviCitaoLonga"/>
      </w:pPr>
      <w:r>
        <w:t>Pregão eletrônico é aquele efetuado por meio da utilização de recursos de tecnologia da informação, ou seja, por meio de comunicação pela internet. É a modalidade obrigatória para a aquisição de bens e serviços comuns, sendo preferencial a forma eletrônica. Seu procedimento segue as regras básicas do pregão comum</w:t>
      </w:r>
      <w:r w:rsidR="006F63A4">
        <w:t>, mas, como é evidente, deixa de ocorrer a presença física do pregoeiro e dos participantes, já que todas as comunicações são feitas por via eletrônica. (MEIRELLES, 2006, p. 327).</w:t>
      </w:r>
    </w:p>
    <w:p w14:paraId="41429679" w14:textId="11D32B8D" w:rsidR="006F63A4" w:rsidRDefault="006F63A4" w:rsidP="00213B0F">
      <w:pPr>
        <w:pStyle w:val="UnidaviCitaoLonga"/>
        <w:spacing w:line="360" w:lineRule="auto"/>
        <w:ind w:left="0"/>
      </w:pPr>
    </w:p>
    <w:p w14:paraId="5FA04E40" w14:textId="397BAEF6" w:rsidR="00703F3E" w:rsidRDefault="006F63A4" w:rsidP="00213B0F">
      <w:pPr>
        <w:pStyle w:val="UnidaviTexto-Espao15"/>
      </w:pPr>
      <w:r>
        <w:t>Co</w:t>
      </w:r>
      <w:r w:rsidR="007E0465">
        <w:t xml:space="preserve">mplementa ainda, que existe </w:t>
      </w:r>
      <w:r>
        <w:t xml:space="preserve">a possibilidade de fazer o pregão eletrônico, </w:t>
      </w:r>
      <w:r w:rsidR="007E0465">
        <w:t>e que este, compreende</w:t>
      </w:r>
      <w:r>
        <w:t xml:space="preserve"> as mesmas fazes do procedimento anterior, mas possui algumas obrigações a mais, </w:t>
      </w:r>
      <w:r w:rsidR="000A7438">
        <w:t xml:space="preserve">conforme </w:t>
      </w:r>
      <w:r w:rsidR="007E0465">
        <w:t>apresentadas pelo Decreto nº 10.024/2019, Art. 3º incisos I ao XI.</w:t>
      </w:r>
      <w:r w:rsidR="00703F3E">
        <w:t xml:space="preserve"> Para garantir a segurança da modalidade pregão na forma eletrônica, o Decreto nº 10.024/2019 diz: </w:t>
      </w:r>
    </w:p>
    <w:p w14:paraId="34679946" w14:textId="77777777" w:rsidR="00703F3E" w:rsidRDefault="00703F3E" w:rsidP="00A848CA">
      <w:pPr>
        <w:pStyle w:val="UnidaviTexto-Espao15"/>
        <w:ind w:firstLine="0"/>
      </w:pPr>
    </w:p>
    <w:p w14:paraId="70BB4DC3" w14:textId="23A76F54" w:rsidR="006F63A4" w:rsidRDefault="00703F3E" w:rsidP="00703F3E">
      <w:pPr>
        <w:pStyle w:val="UnidaviCitaoLonga"/>
      </w:pPr>
      <w:r>
        <w:t>“O pregão na forma eletrônica, é condicionado aos princípios da legalidade, da impessoalidade, da moralidade, da igualdade, da publicidade, da eficiência, da probidade administrativa, do desenvolvimento sustentável, da vinculação ao instrumento convocatório, do julgamento objetivo, da razoabilidade, da competitividade, da proporcionalidade e aos que l</w:t>
      </w:r>
      <w:r w:rsidR="00BF73D3">
        <w:t>hes são correlatos.”. (DECRETO n</w:t>
      </w:r>
      <w:r>
        <w:t>º 10.024/2019, Art. 2º).</w:t>
      </w:r>
    </w:p>
    <w:p w14:paraId="0F2E25E7" w14:textId="5F65356E" w:rsidR="00703F3E" w:rsidRDefault="00703F3E" w:rsidP="00213B0F">
      <w:pPr>
        <w:pStyle w:val="UnidaviCitaoLonga"/>
        <w:spacing w:line="360" w:lineRule="auto"/>
        <w:ind w:left="0"/>
      </w:pPr>
    </w:p>
    <w:p w14:paraId="3A63A1E0" w14:textId="37E2C815" w:rsidR="00835566" w:rsidRDefault="00157585" w:rsidP="00213B0F">
      <w:pPr>
        <w:pStyle w:val="UnidaviTexto-Espao15"/>
      </w:pPr>
      <w:r>
        <w:t>De acordo com Mello (2007), “O</w:t>
      </w:r>
      <w:r w:rsidR="009C6880">
        <w:t xml:space="preserve"> pregão é uma </w:t>
      </w:r>
      <w:r w:rsidR="005B422F">
        <w:t>forma de leilão não para alienar, mas adquirir bens e serviços comuns.”. Complementa</w:t>
      </w:r>
      <w:r w:rsidR="000122E6">
        <w:t>, ainda</w:t>
      </w:r>
      <w:r w:rsidR="005B422F">
        <w:t xml:space="preserve"> que essa modalidade possui duas características que a difere das demais, uma delas é o fato de o pregão ser aplicável a qualquer que seja o valor do bem ou serviço a ser adquirido ou contratado, e a outra e que o exame da habilitação, acontece depois do exame das propostas, e não antes como ocorre nas demais modalidades de licitação.</w:t>
      </w:r>
    </w:p>
    <w:p w14:paraId="12228D65" w14:textId="77777777" w:rsidR="004E5221" w:rsidRDefault="004E5221" w:rsidP="00213B0F">
      <w:pPr>
        <w:pStyle w:val="UnidaviTexto-Espao15"/>
      </w:pPr>
    </w:p>
    <w:p w14:paraId="1AA5BC5D" w14:textId="25A3FEC3" w:rsidR="00703F3E" w:rsidRDefault="00703F3E" w:rsidP="00213B0F">
      <w:pPr>
        <w:pStyle w:val="UnidaviTexto-Espao15"/>
        <w:ind w:firstLine="0"/>
      </w:pPr>
    </w:p>
    <w:p w14:paraId="4047290A" w14:textId="340D5A32" w:rsidR="00703F3E" w:rsidRDefault="00703F3E" w:rsidP="00213B0F">
      <w:pPr>
        <w:pStyle w:val="UNIDAVISEOSECUNDARIA"/>
        <w:spacing w:line="360" w:lineRule="auto"/>
      </w:pPr>
      <w:r>
        <w:lastRenderedPageBreak/>
        <w:t xml:space="preserve">2.6 Tipos de licitação </w:t>
      </w:r>
    </w:p>
    <w:p w14:paraId="521E3CAF" w14:textId="168337FB" w:rsidR="007215C8" w:rsidRDefault="007215C8" w:rsidP="00213B0F">
      <w:pPr>
        <w:pStyle w:val="UNIDAVISEOSECUNDARIA"/>
        <w:spacing w:line="360" w:lineRule="auto"/>
      </w:pPr>
    </w:p>
    <w:p w14:paraId="5B46D9C9" w14:textId="70280624" w:rsidR="00E0526E" w:rsidRDefault="00AB3634" w:rsidP="00213B0F">
      <w:pPr>
        <w:pStyle w:val="UnidaviTexto-Espao15"/>
      </w:pPr>
      <w:r>
        <w:t>Mar</w:t>
      </w:r>
      <w:r w:rsidR="00157585">
        <w:t>çal (2008, p. 376) afirma que “T</w:t>
      </w:r>
      <w:r>
        <w:t xml:space="preserve">ipo de licitação consiste no procedimento licitatório orientado a selecionar a proposta mais vantajosa segundo um critério de julgamento predeterminado.”. Diante desse contexto, conclui-se que os tipos de licitação não devem ser confundidos com as modalidades de licitação, </w:t>
      </w:r>
      <w:r w:rsidR="00E0526E">
        <w:t>visto que, o tipo é a adoção de um critério para julgamento, levando em consideração, as regras procedimentais descritas e a modalidade é a estrutura procedimental da licitação.</w:t>
      </w:r>
    </w:p>
    <w:p w14:paraId="5D1B6A74" w14:textId="657D2610" w:rsidR="00CB3C25" w:rsidRDefault="001F28C8" w:rsidP="00213B0F">
      <w:pPr>
        <w:pStyle w:val="UnidaviTexto-Espao15"/>
      </w:pPr>
      <w:r>
        <w:t xml:space="preserve">A Lei </w:t>
      </w:r>
      <w:r w:rsidR="00BF73D3">
        <w:t xml:space="preserve">nº </w:t>
      </w:r>
      <w:r>
        <w:t>8.666/93, em seu a</w:t>
      </w:r>
      <w:r w:rsidR="00E0526E">
        <w:t>rt. 45 § 1º, descreve quatro tipos de licitação “</w:t>
      </w:r>
      <w:r w:rsidR="00CB3C25">
        <w:t>Para os efeitos desse artigo, constituem tipo de licitação, exceto na modalidade concurso: I - a de menor preço; II - a de técnica; III - a de técnica e preço; e IV - a de maior lance ou oferta.”.</w:t>
      </w:r>
    </w:p>
    <w:p w14:paraId="691532CE" w14:textId="549F1C73" w:rsidR="00920FAB" w:rsidRDefault="00CB3C25" w:rsidP="00213B0F">
      <w:pPr>
        <w:pStyle w:val="UnidaviTexto-Espao15"/>
      </w:pPr>
      <w:r>
        <w:t>Marçal (2008) conceitua os tipos de licitação, conforme apresentado no Quadro 9.</w:t>
      </w:r>
    </w:p>
    <w:p w14:paraId="7713547F" w14:textId="77777777" w:rsidR="00B12A83" w:rsidRDefault="00B12A83" w:rsidP="00434F20">
      <w:pPr>
        <w:pStyle w:val="UnidaviTexto-Espao15"/>
        <w:ind w:firstLine="0"/>
      </w:pPr>
    </w:p>
    <w:p w14:paraId="5A865F77" w14:textId="6AA9B712" w:rsidR="00920FAB" w:rsidRPr="009C3F7F" w:rsidRDefault="009C3F7F" w:rsidP="00D70856">
      <w:pPr>
        <w:pStyle w:val="UnidaviTexto-Espao15"/>
        <w:spacing w:line="240" w:lineRule="auto"/>
        <w:ind w:left="284" w:firstLine="0"/>
        <w:rPr>
          <w:b/>
          <w:sz w:val="20"/>
          <w:szCs w:val="20"/>
        </w:rPr>
      </w:pPr>
      <w:r w:rsidRPr="009C3F7F">
        <w:rPr>
          <w:b/>
          <w:sz w:val="20"/>
          <w:szCs w:val="20"/>
        </w:rPr>
        <w:t>Quadro 9 – Tipos de licitação conceitos</w:t>
      </w:r>
    </w:p>
    <w:tbl>
      <w:tblPr>
        <w:tblStyle w:val="Tabelacomgrade"/>
        <w:tblW w:w="8221" w:type="dxa"/>
        <w:tblInd w:w="279" w:type="dxa"/>
        <w:tblLook w:val="04A0" w:firstRow="1" w:lastRow="0" w:firstColumn="1" w:lastColumn="0" w:noHBand="0" w:noVBand="1"/>
      </w:tblPr>
      <w:tblGrid>
        <w:gridCol w:w="2551"/>
        <w:gridCol w:w="5670"/>
      </w:tblGrid>
      <w:tr w:rsidR="00920FAB" w14:paraId="7FE854EF" w14:textId="77777777" w:rsidTr="00A848CA">
        <w:trPr>
          <w:trHeight w:val="544"/>
        </w:trPr>
        <w:tc>
          <w:tcPr>
            <w:tcW w:w="2551" w:type="dxa"/>
          </w:tcPr>
          <w:p w14:paraId="453A86E1" w14:textId="77777777" w:rsidR="00F20CE3" w:rsidRDefault="00F20CE3" w:rsidP="00920FAB">
            <w:pPr>
              <w:pStyle w:val="UnidaviTexto-Espao15"/>
              <w:ind w:firstLine="0"/>
              <w:jc w:val="center"/>
              <w:rPr>
                <w:b/>
                <w:sz w:val="20"/>
              </w:rPr>
            </w:pPr>
          </w:p>
          <w:p w14:paraId="311C54A4" w14:textId="77777777" w:rsidR="00F20CE3" w:rsidRDefault="00F20CE3" w:rsidP="00F20CE3">
            <w:pPr>
              <w:pStyle w:val="UnidaviTexto-Espao15"/>
              <w:ind w:firstLine="0"/>
              <w:jc w:val="center"/>
              <w:rPr>
                <w:b/>
                <w:sz w:val="20"/>
              </w:rPr>
            </w:pPr>
          </w:p>
          <w:p w14:paraId="50E7A47B" w14:textId="63073004" w:rsidR="00920FAB" w:rsidRPr="00920FAB" w:rsidRDefault="00920FAB" w:rsidP="00F20CE3">
            <w:pPr>
              <w:pStyle w:val="UnidaviTexto-Espao15"/>
              <w:ind w:firstLine="0"/>
              <w:jc w:val="center"/>
              <w:rPr>
                <w:b/>
                <w:sz w:val="20"/>
              </w:rPr>
            </w:pPr>
            <w:r w:rsidRPr="00920FAB">
              <w:rPr>
                <w:b/>
                <w:sz w:val="20"/>
              </w:rPr>
              <w:t>Menor Preço</w:t>
            </w:r>
          </w:p>
        </w:tc>
        <w:tc>
          <w:tcPr>
            <w:tcW w:w="5670" w:type="dxa"/>
          </w:tcPr>
          <w:p w14:paraId="619DDB06" w14:textId="758F4058" w:rsidR="00920FAB" w:rsidRPr="00920FAB" w:rsidRDefault="00920FAB" w:rsidP="00F20CE3">
            <w:pPr>
              <w:pStyle w:val="UnidaviTexto-Espao15"/>
              <w:spacing w:line="240" w:lineRule="auto"/>
              <w:ind w:firstLine="0"/>
              <w:rPr>
                <w:sz w:val="20"/>
              </w:rPr>
            </w:pPr>
            <w:r>
              <w:rPr>
                <w:sz w:val="20"/>
              </w:rPr>
              <w:t xml:space="preserve">É orientada a selecionar a proposta de preço. O ato convocatório deverá estabelecer o critério de determinação do melhor preço, que não pode ser confundido com o menor valor monetário nominal. Existem casos em que, um desembolso de valor mais elevado, dará vantagens maiores à Administração Pública. Por isso, é necessário que o edital estabeleça mecanismos de avaliação da qualidade e de possíveis reflexos em relação ao preço ofertado, </w:t>
            </w:r>
            <w:r w:rsidR="00F20CE3">
              <w:rPr>
                <w:sz w:val="20"/>
              </w:rPr>
              <w:t xml:space="preserve">um mínimo de qualidade é indispensável para satisfazer o ente público. </w:t>
            </w:r>
            <w:r>
              <w:rPr>
                <w:sz w:val="20"/>
              </w:rPr>
              <w:t xml:space="preserve"> </w:t>
            </w:r>
          </w:p>
        </w:tc>
      </w:tr>
      <w:tr w:rsidR="00920FAB" w14:paraId="35214E97" w14:textId="77777777" w:rsidTr="00A848CA">
        <w:trPr>
          <w:trHeight w:val="527"/>
        </w:trPr>
        <w:tc>
          <w:tcPr>
            <w:tcW w:w="2551" w:type="dxa"/>
          </w:tcPr>
          <w:p w14:paraId="40AB7BE3" w14:textId="77777777" w:rsidR="00DD2F04" w:rsidRDefault="00DD2F04" w:rsidP="00920FAB">
            <w:pPr>
              <w:pStyle w:val="UnidaviTexto-Espao15"/>
              <w:ind w:firstLine="0"/>
              <w:jc w:val="center"/>
              <w:rPr>
                <w:b/>
                <w:sz w:val="20"/>
              </w:rPr>
            </w:pPr>
          </w:p>
          <w:p w14:paraId="0F0F5A46" w14:textId="0F2A590F" w:rsidR="00920FAB" w:rsidRPr="00920FAB" w:rsidRDefault="00920FAB" w:rsidP="00DD2F04">
            <w:pPr>
              <w:pStyle w:val="UnidaviTexto-Espao15"/>
              <w:ind w:firstLine="0"/>
              <w:jc w:val="center"/>
              <w:rPr>
                <w:b/>
                <w:sz w:val="20"/>
              </w:rPr>
            </w:pPr>
            <w:r w:rsidRPr="00920FAB">
              <w:rPr>
                <w:b/>
                <w:sz w:val="20"/>
              </w:rPr>
              <w:t>Técnica</w:t>
            </w:r>
          </w:p>
        </w:tc>
        <w:tc>
          <w:tcPr>
            <w:tcW w:w="5670" w:type="dxa"/>
          </w:tcPr>
          <w:p w14:paraId="5B06F63C" w14:textId="55067B1D" w:rsidR="00920FAB" w:rsidRPr="00920FAB" w:rsidRDefault="00F20CE3" w:rsidP="00DD2F04">
            <w:pPr>
              <w:pStyle w:val="UnidaviTexto-Espao15"/>
              <w:spacing w:line="240" w:lineRule="auto"/>
              <w:ind w:firstLine="0"/>
              <w:rPr>
                <w:sz w:val="20"/>
              </w:rPr>
            </w:pPr>
            <w:r>
              <w:rPr>
                <w:sz w:val="20"/>
              </w:rPr>
              <w:t xml:space="preserve">É reservada a licitação de técnica para serviços de natureza predominantemente intelectual. Nesse caso, o edital prevê a apresentação de duas propostas, uma técnica e outra comercial, contemplando critérios objetivos para sua avaliação. Costuma-se utilizar a licitação de técnica à contratação de serviços </w:t>
            </w:r>
            <w:r w:rsidR="00DD2F04">
              <w:rPr>
                <w:sz w:val="20"/>
              </w:rPr>
              <w:t>intelectuais, onde existe uma atuação peculiar e insubstituível do ser humano.</w:t>
            </w:r>
          </w:p>
        </w:tc>
      </w:tr>
      <w:tr w:rsidR="00920FAB" w14:paraId="7557F34D" w14:textId="77777777" w:rsidTr="00A848CA">
        <w:trPr>
          <w:trHeight w:val="544"/>
        </w:trPr>
        <w:tc>
          <w:tcPr>
            <w:tcW w:w="2551" w:type="dxa"/>
          </w:tcPr>
          <w:p w14:paraId="2E3A30D6" w14:textId="77777777" w:rsidR="009C3F7F" w:rsidRDefault="009C3F7F" w:rsidP="00920FAB">
            <w:pPr>
              <w:pStyle w:val="UnidaviTexto-Espao15"/>
              <w:ind w:firstLine="0"/>
              <w:jc w:val="center"/>
              <w:rPr>
                <w:b/>
                <w:sz w:val="20"/>
              </w:rPr>
            </w:pPr>
          </w:p>
          <w:p w14:paraId="5A3D7599" w14:textId="77777777" w:rsidR="009C3F7F" w:rsidRDefault="009C3F7F" w:rsidP="00920FAB">
            <w:pPr>
              <w:pStyle w:val="UnidaviTexto-Espao15"/>
              <w:ind w:firstLine="0"/>
              <w:jc w:val="center"/>
              <w:rPr>
                <w:b/>
                <w:sz w:val="20"/>
              </w:rPr>
            </w:pPr>
          </w:p>
          <w:p w14:paraId="59D0B4D2" w14:textId="48254E66" w:rsidR="00920FAB" w:rsidRPr="00920FAB" w:rsidRDefault="00920FAB" w:rsidP="00920FAB">
            <w:pPr>
              <w:pStyle w:val="UnidaviTexto-Espao15"/>
              <w:ind w:firstLine="0"/>
              <w:jc w:val="center"/>
              <w:rPr>
                <w:b/>
                <w:sz w:val="20"/>
              </w:rPr>
            </w:pPr>
            <w:r w:rsidRPr="00920FAB">
              <w:rPr>
                <w:b/>
                <w:sz w:val="20"/>
              </w:rPr>
              <w:t>Técnica e Preço</w:t>
            </w:r>
          </w:p>
        </w:tc>
        <w:tc>
          <w:tcPr>
            <w:tcW w:w="5670" w:type="dxa"/>
          </w:tcPr>
          <w:p w14:paraId="36B5BE72" w14:textId="28DE58E8" w:rsidR="00920FAB" w:rsidRPr="00920FAB" w:rsidRDefault="00DD2F04" w:rsidP="00DD2F04">
            <w:pPr>
              <w:pStyle w:val="UnidaviTexto-Espao15"/>
              <w:spacing w:line="240" w:lineRule="auto"/>
              <w:ind w:firstLine="0"/>
              <w:rPr>
                <w:sz w:val="20"/>
              </w:rPr>
            </w:pPr>
            <w:r>
              <w:rPr>
                <w:sz w:val="20"/>
              </w:rPr>
              <w:t>Nas licitações de técnica e preço, faz-se a seleção da proposta vencedora, por meio de uma avaliação conjunta de atributos de qualidade e preço. Primeiro julgam-se as propostas técnicas, com um mínimo de qualidade exigida. Depois são avaliadas as propostas comerciais, que são classificadas segundo menor preço. A diferença na licitação de técnica e preço, é que o vencedor é encontrado por uma média entre as notas técnicas e comerciais, onde o edital pode estabelecer essas notas no edital.</w:t>
            </w:r>
          </w:p>
        </w:tc>
      </w:tr>
      <w:tr w:rsidR="00920FAB" w14:paraId="3352A899" w14:textId="77777777" w:rsidTr="00A848CA">
        <w:trPr>
          <w:trHeight w:val="527"/>
        </w:trPr>
        <w:tc>
          <w:tcPr>
            <w:tcW w:w="2551" w:type="dxa"/>
          </w:tcPr>
          <w:p w14:paraId="6D956444" w14:textId="77777777" w:rsidR="009C3F7F" w:rsidRDefault="009C3F7F" w:rsidP="009C3F7F">
            <w:pPr>
              <w:pStyle w:val="UnidaviTexto-Espao15"/>
              <w:ind w:firstLine="0"/>
              <w:jc w:val="center"/>
              <w:rPr>
                <w:b/>
                <w:sz w:val="20"/>
              </w:rPr>
            </w:pPr>
          </w:p>
          <w:p w14:paraId="4A1DD3A6" w14:textId="3795EC3E" w:rsidR="00920FAB" w:rsidRPr="00920FAB" w:rsidRDefault="00920FAB" w:rsidP="009C3F7F">
            <w:pPr>
              <w:pStyle w:val="UnidaviTexto-Espao15"/>
              <w:ind w:firstLine="0"/>
              <w:jc w:val="center"/>
              <w:rPr>
                <w:b/>
                <w:sz w:val="20"/>
              </w:rPr>
            </w:pPr>
            <w:r w:rsidRPr="00920FAB">
              <w:rPr>
                <w:b/>
                <w:sz w:val="20"/>
              </w:rPr>
              <w:t>Maior Lance ou Oferta</w:t>
            </w:r>
          </w:p>
        </w:tc>
        <w:tc>
          <w:tcPr>
            <w:tcW w:w="5670" w:type="dxa"/>
          </w:tcPr>
          <w:p w14:paraId="754D58C0" w14:textId="4E55C34E" w:rsidR="00920FAB" w:rsidRPr="00920FAB" w:rsidRDefault="00DD2F04" w:rsidP="009C3F7F">
            <w:pPr>
              <w:pStyle w:val="UnidaviTexto-Espao15"/>
              <w:spacing w:line="240" w:lineRule="auto"/>
              <w:ind w:firstLine="0"/>
              <w:rPr>
                <w:sz w:val="20"/>
              </w:rPr>
            </w:pPr>
            <w:r>
              <w:rPr>
                <w:sz w:val="20"/>
              </w:rPr>
              <w:t xml:space="preserve">É utilizada </w:t>
            </w:r>
            <w:r w:rsidR="009C3F7F">
              <w:rPr>
                <w:sz w:val="20"/>
              </w:rPr>
              <w:t>pela Administração Pública para alienação de bens e direitos. Será vencedora, a proposta que oferecer a maior vantagem econômica. Usualmente, o ato convocatório estabelece que a oferta será feita em moeda corrente (nacional ou não). Mas não há impedimento que haja ofertas de outra ordem, tal como metros quadrados edificados, extensão de pavimento rodoviário, etc.</w:t>
            </w:r>
          </w:p>
        </w:tc>
      </w:tr>
    </w:tbl>
    <w:p w14:paraId="00E97FD5" w14:textId="4BA693B4" w:rsidR="00835566" w:rsidRDefault="009C3F7F" w:rsidP="00D70856">
      <w:pPr>
        <w:pStyle w:val="UnidaviTexto-Espao15"/>
        <w:ind w:left="284" w:firstLine="0"/>
        <w:rPr>
          <w:sz w:val="20"/>
        </w:rPr>
      </w:pPr>
      <w:r w:rsidRPr="009C3F7F">
        <w:rPr>
          <w:sz w:val="20"/>
        </w:rPr>
        <w:t>Fonte: Elaborado a partir de Marçal (2008)</w:t>
      </w:r>
    </w:p>
    <w:p w14:paraId="42B8A965" w14:textId="77062C04" w:rsidR="0088477C" w:rsidRDefault="0088477C" w:rsidP="00213B0F">
      <w:pPr>
        <w:pStyle w:val="UnidaviTexto-Espao15"/>
        <w:ind w:firstLine="0"/>
        <w:rPr>
          <w:sz w:val="20"/>
        </w:rPr>
      </w:pPr>
    </w:p>
    <w:p w14:paraId="3C2FDE6C" w14:textId="1FE7404E" w:rsidR="009C3F7F" w:rsidRDefault="009C3F7F" w:rsidP="00213B0F">
      <w:pPr>
        <w:pStyle w:val="UnidaviTexto-Espao15"/>
      </w:pPr>
      <w:r>
        <w:t xml:space="preserve">Blanchet (2007), complementa que a distinção entre modalidades e tipos de licitação, se caracteriza pelo fato de </w:t>
      </w:r>
      <w:r w:rsidR="0053096C">
        <w:t>que as modalidades são relacionadas à função</w:t>
      </w:r>
      <w:r w:rsidR="001D01CE">
        <w:t xml:space="preserve"> </w:t>
      </w:r>
      <w:r w:rsidR="0053096C">
        <w:t xml:space="preserve">e especificidades </w:t>
      </w:r>
      <w:r w:rsidR="0053096C">
        <w:lastRenderedPageBreak/>
        <w:t>do processo administrativo de cada uma. Já os tipos de licitação, são relacionados aos fatores utilizados nos critérios de julgamento.</w:t>
      </w:r>
    </w:p>
    <w:p w14:paraId="059ABEA4" w14:textId="701AC3F6" w:rsidR="00695AEE" w:rsidRDefault="00695AEE" w:rsidP="00434F20">
      <w:pPr>
        <w:pStyle w:val="UnidaviTexto-Espao15"/>
        <w:ind w:firstLine="0"/>
      </w:pPr>
    </w:p>
    <w:p w14:paraId="4DDC971F" w14:textId="6056416E" w:rsidR="00695AEE" w:rsidRDefault="00695AEE" w:rsidP="00434F20">
      <w:pPr>
        <w:pStyle w:val="UNIDAVISEOSECUNDARIA"/>
        <w:spacing w:line="360" w:lineRule="auto"/>
      </w:pPr>
      <w:r>
        <w:t>2.7 da publicidade</w:t>
      </w:r>
    </w:p>
    <w:p w14:paraId="6818F62B" w14:textId="2BBB3ABB" w:rsidR="00695AEE" w:rsidRDefault="00695AEE" w:rsidP="00434F20">
      <w:pPr>
        <w:pStyle w:val="UNIDAVISEOSECUNDARIA"/>
        <w:spacing w:line="360" w:lineRule="auto"/>
      </w:pPr>
    </w:p>
    <w:p w14:paraId="0F2EC476" w14:textId="57D2F1ED" w:rsidR="00A04AA1" w:rsidRDefault="00A04AA1" w:rsidP="00B80A5B">
      <w:pPr>
        <w:pStyle w:val="UnidaviTexto-Espao15"/>
      </w:pPr>
      <w:r>
        <w:t>Segundo</w:t>
      </w:r>
      <w:r w:rsidR="00695AEE">
        <w:t xml:space="preserve"> </w:t>
      </w:r>
      <w:r w:rsidR="001B60D4">
        <w:t>Amorim (2017)</w:t>
      </w:r>
      <w:r w:rsidR="00695AEE">
        <w:t>, “São definidos prazos mínimos entre a publicação do aviso de licitação e a data designada para a realização da sessão pública, variando os prazos de acordo com a modalidade, tipo e o regime de execução.”.</w:t>
      </w:r>
      <w:r>
        <w:t xml:space="preserve"> Conforme apresentado no Quadro 10.</w:t>
      </w:r>
    </w:p>
    <w:p w14:paraId="5297FAE5" w14:textId="77777777" w:rsidR="00B80A5B" w:rsidRDefault="00B80A5B" w:rsidP="00B80A5B">
      <w:pPr>
        <w:pStyle w:val="UnidaviTexto-Espao15"/>
        <w:ind w:firstLine="0"/>
      </w:pPr>
    </w:p>
    <w:p w14:paraId="61034D22" w14:textId="143B1BD9" w:rsidR="00695AEE" w:rsidRPr="00A04AA1" w:rsidRDefault="00A04AA1" w:rsidP="00617B2B">
      <w:pPr>
        <w:pStyle w:val="UnidaviTexto-Espao15"/>
        <w:spacing w:line="240" w:lineRule="auto"/>
        <w:ind w:left="284" w:firstLine="0"/>
        <w:rPr>
          <w:b/>
          <w:sz w:val="20"/>
        </w:rPr>
      </w:pPr>
      <w:r w:rsidRPr="00A04AA1">
        <w:rPr>
          <w:b/>
          <w:sz w:val="20"/>
        </w:rPr>
        <w:t>Quadro 10 – Prazos para publicidade da licitação</w:t>
      </w:r>
    </w:p>
    <w:tbl>
      <w:tblPr>
        <w:tblStyle w:val="Tabelacomgrade"/>
        <w:tblW w:w="8505" w:type="dxa"/>
        <w:tblInd w:w="279" w:type="dxa"/>
        <w:tblLook w:val="04A0" w:firstRow="1" w:lastRow="0" w:firstColumn="1" w:lastColumn="0" w:noHBand="0" w:noVBand="1"/>
      </w:tblPr>
      <w:tblGrid>
        <w:gridCol w:w="2835"/>
        <w:gridCol w:w="5670"/>
      </w:tblGrid>
      <w:tr w:rsidR="00E52ED6" w14:paraId="73831F73" w14:textId="77777777" w:rsidTr="00BF73D3">
        <w:trPr>
          <w:trHeight w:val="196"/>
        </w:trPr>
        <w:tc>
          <w:tcPr>
            <w:tcW w:w="2835" w:type="dxa"/>
          </w:tcPr>
          <w:p w14:paraId="67AAF857" w14:textId="41B43C52" w:rsidR="00E52ED6" w:rsidRPr="00A04AA1" w:rsidRDefault="00E52ED6" w:rsidP="00A04AA1">
            <w:pPr>
              <w:pStyle w:val="UnidaviTexto-Espao15"/>
              <w:spacing w:line="240" w:lineRule="auto"/>
              <w:ind w:firstLine="0"/>
              <w:jc w:val="center"/>
              <w:rPr>
                <w:b/>
                <w:sz w:val="20"/>
              </w:rPr>
            </w:pPr>
            <w:r w:rsidRPr="00A04AA1">
              <w:rPr>
                <w:b/>
                <w:sz w:val="20"/>
              </w:rPr>
              <w:t>Modalidade</w:t>
            </w:r>
          </w:p>
        </w:tc>
        <w:tc>
          <w:tcPr>
            <w:tcW w:w="5670" w:type="dxa"/>
          </w:tcPr>
          <w:p w14:paraId="2506088F" w14:textId="74901C6C" w:rsidR="00E52ED6" w:rsidRPr="00A04AA1" w:rsidRDefault="00E52ED6" w:rsidP="00A04AA1">
            <w:pPr>
              <w:pStyle w:val="UnidaviTexto-Espao15"/>
              <w:spacing w:line="240" w:lineRule="auto"/>
              <w:ind w:firstLine="0"/>
              <w:jc w:val="center"/>
              <w:rPr>
                <w:b/>
                <w:sz w:val="20"/>
              </w:rPr>
            </w:pPr>
            <w:r w:rsidRPr="00A04AA1">
              <w:rPr>
                <w:b/>
                <w:sz w:val="20"/>
              </w:rPr>
              <w:t>Prazo mínimo para publicação do edital</w:t>
            </w:r>
          </w:p>
        </w:tc>
      </w:tr>
      <w:tr w:rsidR="00E52ED6" w14:paraId="2194AE58" w14:textId="77777777" w:rsidTr="00BF73D3">
        <w:trPr>
          <w:trHeight w:val="385"/>
        </w:trPr>
        <w:tc>
          <w:tcPr>
            <w:tcW w:w="2835" w:type="dxa"/>
          </w:tcPr>
          <w:p w14:paraId="46A26492" w14:textId="77777777" w:rsidR="00E52ED6" w:rsidRPr="00E52ED6" w:rsidRDefault="00E52ED6" w:rsidP="00A04AA1">
            <w:pPr>
              <w:pStyle w:val="UnidaviTexto-Espao15"/>
              <w:spacing w:line="240" w:lineRule="auto"/>
              <w:ind w:firstLine="0"/>
              <w:jc w:val="center"/>
              <w:rPr>
                <w:sz w:val="20"/>
              </w:rPr>
            </w:pPr>
          </w:p>
          <w:p w14:paraId="085A8640" w14:textId="6EC6406C" w:rsidR="00E52ED6" w:rsidRPr="00A04AA1" w:rsidRDefault="00E52ED6" w:rsidP="00A04AA1">
            <w:pPr>
              <w:pStyle w:val="UnidaviTexto-Espao15"/>
              <w:spacing w:line="240" w:lineRule="auto"/>
              <w:ind w:firstLine="0"/>
              <w:jc w:val="center"/>
              <w:rPr>
                <w:b/>
                <w:sz w:val="20"/>
              </w:rPr>
            </w:pPr>
            <w:r w:rsidRPr="00A04AA1">
              <w:rPr>
                <w:b/>
                <w:sz w:val="20"/>
              </w:rPr>
              <w:t>Concorrência</w:t>
            </w:r>
          </w:p>
        </w:tc>
        <w:tc>
          <w:tcPr>
            <w:tcW w:w="5670" w:type="dxa"/>
          </w:tcPr>
          <w:p w14:paraId="2F249A2F" w14:textId="77777777" w:rsidR="00E52ED6" w:rsidRPr="00E52ED6" w:rsidRDefault="00E52ED6" w:rsidP="00A04AA1">
            <w:pPr>
              <w:pStyle w:val="UnidaviTexto-Espao15"/>
              <w:spacing w:line="240" w:lineRule="auto"/>
              <w:ind w:firstLine="0"/>
              <w:rPr>
                <w:sz w:val="20"/>
              </w:rPr>
            </w:pPr>
            <w:r w:rsidRPr="00E52ED6">
              <w:rPr>
                <w:sz w:val="20"/>
              </w:rPr>
              <w:t xml:space="preserve">45 dias: quando a licitação for do tipo melhor técnica ou técnica e preço, ou regime de execução do objeto por empreitada integral; </w:t>
            </w:r>
          </w:p>
          <w:p w14:paraId="13DD0850" w14:textId="643DC68E" w:rsidR="00E52ED6" w:rsidRPr="00E52ED6" w:rsidRDefault="00E52ED6" w:rsidP="00A04AA1">
            <w:pPr>
              <w:pStyle w:val="UnidaviTexto-Espao15"/>
              <w:spacing w:line="240" w:lineRule="auto"/>
              <w:ind w:firstLine="0"/>
              <w:rPr>
                <w:sz w:val="20"/>
              </w:rPr>
            </w:pPr>
            <w:r w:rsidRPr="00E52ED6">
              <w:rPr>
                <w:sz w:val="20"/>
              </w:rPr>
              <w:t>30 dias: para os demais casos.</w:t>
            </w:r>
          </w:p>
        </w:tc>
      </w:tr>
      <w:tr w:rsidR="00E52ED6" w14:paraId="06BD314E" w14:textId="77777777" w:rsidTr="00BF73D3">
        <w:trPr>
          <w:trHeight w:val="372"/>
        </w:trPr>
        <w:tc>
          <w:tcPr>
            <w:tcW w:w="2835" w:type="dxa"/>
          </w:tcPr>
          <w:p w14:paraId="741F858E" w14:textId="77777777" w:rsidR="00E52ED6" w:rsidRPr="00E52ED6" w:rsidRDefault="00E52ED6" w:rsidP="00A04AA1">
            <w:pPr>
              <w:pStyle w:val="UnidaviTexto-Espao15"/>
              <w:spacing w:line="240" w:lineRule="auto"/>
              <w:ind w:firstLine="0"/>
              <w:jc w:val="center"/>
              <w:rPr>
                <w:sz w:val="20"/>
              </w:rPr>
            </w:pPr>
          </w:p>
          <w:p w14:paraId="5FF1322B" w14:textId="6C221F81" w:rsidR="00E52ED6" w:rsidRPr="00A04AA1" w:rsidRDefault="00E52ED6" w:rsidP="00A04AA1">
            <w:pPr>
              <w:pStyle w:val="UnidaviTexto-Espao15"/>
              <w:spacing w:line="240" w:lineRule="auto"/>
              <w:ind w:firstLine="0"/>
              <w:jc w:val="center"/>
              <w:rPr>
                <w:b/>
                <w:sz w:val="20"/>
              </w:rPr>
            </w:pPr>
            <w:r w:rsidRPr="00A04AA1">
              <w:rPr>
                <w:b/>
                <w:sz w:val="20"/>
              </w:rPr>
              <w:t>Tomada de Preços</w:t>
            </w:r>
          </w:p>
        </w:tc>
        <w:tc>
          <w:tcPr>
            <w:tcW w:w="5670" w:type="dxa"/>
          </w:tcPr>
          <w:p w14:paraId="0A710FB1" w14:textId="77777777" w:rsidR="00E52ED6" w:rsidRPr="00E52ED6" w:rsidRDefault="00E52ED6" w:rsidP="00A04AA1">
            <w:pPr>
              <w:pStyle w:val="UnidaviTexto-Espao15"/>
              <w:spacing w:line="240" w:lineRule="auto"/>
              <w:ind w:firstLine="0"/>
              <w:rPr>
                <w:sz w:val="20"/>
              </w:rPr>
            </w:pPr>
            <w:r w:rsidRPr="00E52ED6">
              <w:rPr>
                <w:sz w:val="20"/>
              </w:rPr>
              <w:t>30 dias: no caso de licitação do tipo melhor técnica ou técnica e preço;</w:t>
            </w:r>
          </w:p>
          <w:p w14:paraId="431E9169" w14:textId="17E5BF33" w:rsidR="00E52ED6" w:rsidRPr="00E52ED6" w:rsidRDefault="00E52ED6" w:rsidP="00A04AA1">
            <w:pPr>
              <w:pStyle w:val="UnidaviTexto-Espao15"/>
              <w:spacing w:line="240" w:lineRule="auto"/>
              <w:ind w:firstLine="0"/>
              <w:rPr>
                <w:sz w:val="20"/>
              </w:rPr>
            </w:pPr>
            <w:r w:rsidRPr="00E52ED6">
              <w:rPr>
                <w:sz w:val="20"/>
              </w:rPr>
              <w:t>15 dias: para os demais casos.</w:t>
            </w:r>
          </w:p>
        </w:tc>
      </w:tr>
      <w:tr w:rsidR="00E52ED6" w14:paraId="4F8E7AAB" w14:textId="77777777" w:rsidTr="00BF73D3">
        <w:trPr>
          <w:trHeight w:val="216"/>
        </w:trPr>
        <w:tc>
          <w:tcPr>
            <w:tcW w:w="2835" w:type="dxa"/>
          </w:tcPr>
          <w:p w14:paraId="23192DBE" w14:textId="152BA56B" w:rsidR="00E52ED6" w:rsidRPr="00A04AA1" w:rsidRDefault="00E52ED6" w:rsidP="00A04AA1">
            <w:pPr>
              <w:pStyle w:val="UnidaviTexto-Espao15"/>
              <w:spacing w:line="240" w:lineRule="auto"/>
              <w:ind w:firstLine="0"/>
              <w:jc w:val="center"/>
              <w:rPr>
                <w:b/>
                <w:sz w:val="20"/>
              </w:rPr>
            </w:pPr>
            <w:r w:rsidRPr="00A04AA1">
              <w:rPr>
                <w:b/>
                <w:sz w:val="20"/>
              </w:rPr>
              <w:t>Convite</w:t>
            </w:r>
          </w:p>
        </w:tc>
        <w:tc>
          <w:tcPr>
            <w:tcW w:w="5670" w:type="dxa"/>
          </w:tcPr>
          <w:p w14:paraId="17FC928A" w14:textId="4CE6CB3C" w:rsidR="00E52ED6" w:rsidRPr="00E52ED6" w:rsidRDefault="00E52ED6" w:rsidP="00A04AA1">
            <w:pPr>
              <w:pStyle w:val="UnidaviTexto-Espao15"/>
              <w:spacing w:line="240" w:lineRule="auto"/>
              <w:ind w:firstLine="0"/>
              <w:rPr>
                <w:sz w:val="20"/>
              </w:rPr>
            </w:pPr>
            <w:r w:rsidRPr="00E52ED6">
              <w:rPr>
                <w:sz w:val="20"/>
              </w:rPr>
              <w:t>5 dias úteis: em qualquer caso.</w:t>
            </w:r>
          </w:p>
        </w:tc>
      </w:tr>
      <w:tr w:rsidR="00E52ED6" w14:paraId="40862E67" w14:textId="77777777" w:rsidTr="00BF73D3">
        <w:trPr>
          <w:trHeight w:val="248"/>
        </w:trPr>
        <w:tc>
          <w:tcPr>
            <w:tcW w:w="2835" w:type="dxa"/>
          </w:tcPr>
          <w:p w14:paraId="2804D75A" w14:textId="201BC253" w:rsidR="00E52ED6" w:rsidRPr="00A04AA1" w:rsidRDefault="00E52ED6" w:rsidP="00A04AA1">
            <w:pPr>
              <w:pStyle w:val="UnidaviTexto-Espao15"/>
              <w:spacing w:line="240" w:lineRule="auto"/>
              <w:ind w:firstLine="0"/>
              <w:jc w:val="center"/>
              <w:rPr>
                <w:b/>
                <w:sz w:val="20"/>
              </w:rPr>
            </w:pPr>
            <w:r w:rsidRPr="00A04AA1">
              <w:rPr>
                <w:b/>
                <w:sz w:val="20"/>
              </w:rPr>
              <w:t>Leilão</w:t>
            </w:r>
          </w:p>
        </w:tc>
        <w:tc>
          <w:tcPr>
            <w:tcW w:w="5670" w:type="dxa"/>
          </w:tcPr>
          <w:p w14:paraId="5CC65A61" w14:textId="1CEFB31C" w:rsidR="00E52ED6" w:rsidRPr="00E52ED6" w:rsidRDefault="00E52ED6" w:rsidP="00A04AA1">
            <w:pPr>
              <w:pStyle w:val="UnidaviTexto-Espao15"/>
              <w:spacing w:line="240" w:lineRule="auto"/>
              <w:ind w:firstLine="0"/>
              <w:rPr>
                <w:sz w:val="20"/>
              </w:rPr>
            </w:pPr>
            <w:r w:rsidRPr="00E52ED6">
              <w:rPr>
                <w:sz w:val="20"/>
              </w:rPr>
              <w:t>15 dias úteis: em qualquer caso.</w:t>
            </w:r>
          </w:p>
        </w:tc>
      </w:tr>
      <w:tr w:rsidR="00E52ED6" w14:paraId="0381299B" w14:textId="77777777" w:rsidTr="00BF73D3">
        <w:trPr>
          <w:trHeight w:val="183"/>
        </w:trPr>
        <w:tc>
          <w:tcPr>
            <w:tcW w:w="2835" w:type="dxa"/>
          </w:tcPr>
          <w:p w14:paraId="76AF0639" w14:textId="09C76130" w:rsidR="00E52ED6" w:rsidRPr="00A04AA1" w:rsidRDefault="00E52ED6" w:rsidP="00A04AA1">
            <w:pPr>
              <w:pStyle w:val="UnidaviTexto-Espao15"/>
              <w:spacing w:line="240" w:lineRule="auto"/>
              <w:ind w:firstLine="0"/>
              <w:jc w:val="center"/>
              <w:rPr>
                <w:b/>
                <w:sz w:val="20"/>
              </w:rPr>
            </w:pPr>
            <w:r w:rsidRPr="00A04AA1">
              <w:rPr>
                <w:b/>
                <w:sz w:val="20"/>
              </w:rPr>
              <w:t>Pregão Presencial ou Eletrônico</w:t>
            </w:r>
          </w:p>
        </w:tc>
        <w:tc>
          <w:tcPr>
            <w:tcW w:w="5670" w:type="dxa"/>
          </w:tcPr>
          <w:p w14:paraId="338EAC9F" w14:textId="2589AF85" w:rsidR="00E52ED6" w:rsidRPr="00E52ED6" w:rsidRDefault="00E52ED6" w:rsidP="00A04AA1">
            <w:pPr>
              <w:pStyle w:val="UnidaviTexto-Espao15"/>
              <w:spacing w:line="240" w:lineRule="auto"/>
              <w:ind w:firstLine="0"/>
              <w:rPr>
                <w:sz w:val="20"/>
              </w:rPr>
            </w:pPr>
            <w:r w:rsidRPr="00E52ED6">
              <w:rPr>
                <w:sz w:val="20"/>
              </w:rPr>
              <w:t>8 dias úteis: em qualquer caso.</w:t>
            </w:r>
          </w:p>
        </w:tc>
      </w:tr>
      <w:tr w:rsidR="00E52ED6" w14:paraId="52215B9B" w14:textId="77777777" w:rsidTr="00BF73D3">
        <w:trPr>
          <w:trHeight w:val="230"/>
        </w:trPr>
        <w:tc>
          <w:tcPr>
            <w:tcW w:w="2835" w:type="dxa"/>
          </w:tcPr>
          <w:p w14:paraId="0D25CA9F" w14:textId="7C205450" w:rsidR="00E52ED6" w:rsidRPr="00A04AA1" w:rsidRDefault="00E52ED6" w:rsidP="00A04AA1">
            <w:pPr>
              <w:pStyle w:val="UnidaviTexto-Espao15"/>
              <w:spacing w:line="240" w:lineRule="auto"/>
              <w:ind w:firstLine="0"/>
              <w:jc w:val="center"/>
              <w:rPr>
                <w:b/>
                <w:sz w:val="20"/>
              </w:rPr>
            </w:pPr>
            <w:r w:rsidRPr="00A04AA1">
              <w:rPr>
                <w:b/>
                <w:sz w:val="20"/>
              </w:rPr>
              <w:t>Concurso</w:t>
            </w:r>
          </w:p>
        </w:tc>
        <w:tc>
          <w:tcPr>
            <w:tcW w:w="5670" w:type="dxa"/>
          </w:tcPr>
          <w:p w14:paraId="7DDAE8C9" w14:textId="75EFBFF1" w:rsidR="00E52ED6" w:rsidRPr="00E52ED6" w:rsidRDefault="00E52ED6" w:rsidP="00A04AA1">
            <w:pPr>
              <w:pStyle w:val="UnidaviTexto-Espao15"/>
              <w:spacing w:line="240" w:lineRule="auto"/>
              <w:ind w:firstLine="0"/>
              <w:rPr>
                <w:sz w:val="20"/>
              </w:rPr>
            </w:pPr>
            <w:r w:rsidRPr="00E52ED6">
              <w:rPr>
                <w:sz w:val="20"/>
              </w:rPr>
              <w:t>45 dias: em qualquer caso.</w:t>
            </w:r>
          </w:p>
        </w:tc>
      </w:tr>
    </w:tbl>
    <w:p w14:paraId="7A44C0C5" w14:textId="1E5AFB6D" w:rsidR="00695AEE" w:rsidRPr="00A04AA1" w:rsidRDefault="00A04AA1" w:rsidP="00617B2B">
      <w:pPr>
        <w:pStyle w:val="UnidaviTexto-Espao15"/>
        <w:ind w:left="284" w:firstLine="0"/>
        <w:rPr>
          <w:sz w:val="20"/>
        </w:rPr>
      </w:pPr>
      <w:r w:rsidRPr="00A04AA1">
        <w:rPr>
          <w:sz w:val="20"/>
        </w:rPr>
        <w:t xml:space="preserve">Fonte: Elaborado a partir </w:t>
      </w:r>
      <w:r>
        <w:rPr>
          <w:sz w:val="20"/>
        </w:rPr>
        <w:t>da Lei 8.666 (1993)</w:t>
      </w:r>
    </w:p>
    <w:p w14:paraId="3FA04833" w14:textId="53543124" w:rsidR="00D050B9" w:rsidRDefault="00D050B9" w:rsidP="00434F20">
      <w:pPr>
        <w:pStyle w:val="UnidaviTexto-Espao15"/>
        <w:ind w:firstLine="0"/>
      </w:pPr>
    </w:p>
    <w:p w14:paraId="20CF99AC" w14:textId="52D10D1D" w:rsidR="001B60D4" w:rsidRDefault="00A04AA1" w:rsidP="00A04AA1">
      <w:pPr>
        <w:pStyle w:val="UnidaviTexto-Espao15"/>
      </w:pPr>
      <w:r w:rsidRPr="00A04AA1">
        <w:t xml:space="preserve">De acordo com </w:t>
      </w:r>
      <w:r>
        <w:t xml:space="preserve">o art. 21, § 3º da Lei </w:t>
      </w:r>
      <w:r w:rsidR="00BF73D3">
        <w:t xml:space="preserve">nº </w:t>
      </w:r>
      <w:r>
        <w:t xml:space="preserve">8.666/93, os prazos devem ser contados a partir da última publicação do edital resumido ou da expedição do convite, ou ainda da efetiva disponibilidade do edital </w:t>
      </w:r>
      <w:r w:rsidR="001B60D4">
        <w:t>ou do convite e respectivos anexos, prevalecendo a data que ocorrer mais tarde.</w:t>
      </w:r>
    </w:p>
    <w:p w14:paraId="5FEE03E6" w14:textId="3D026AFF" w:rsidR="00A04AA1" w:rsidRPr="00A04AA1" w:rsidRDefault="00A04AA1" w:rsidP="00434F20">
      <w:pPr>
        <w:pStyle w:val="UnidaviTexto-Espao15"/>
        <w:ind w:firstLine="0"/>
      </w:pPr>
      <w:r>
        <w:t xml:space="preserve"> </w:t>
      </w:r>
    </w:p>
    <w:p w14:paraId="043B44AD" w14:textId="55E1579E" w:rsidR="00D050B9" w:rsidRDefault="00F843FF" w:rsidP="00434F20">
      <w:pPr>
        <w:pStyle w:val="UNIDAVISEOSECUNDARIA"/>
        <w:spacing w:line="360" w:lineRule="auto"/>
      </w:pPr>
      <w:r>
        <w:t>2.8</w:t>
      </w:r>
      <w:r w:rsidR="00D050B9">
        <w:t xml:space="preserve"> Inexigibilidade e dispensa de licitação</w:t>
      </w:r>
    </w:p>
    <w:p w14:paraId="6FF227EA" w14:textId="2080B4FB" w:rsidR="00D050B9" w:rsidRDefault="00D050B9" w:rsidP="00434F20">
      <w:pPr>
        <w:pStyle w:val="UNIDAVISEOSECUNDARIA"/>
        <w:spacing w:line="360" w:lineRule="auto"/>
      </w:pPr>
    </w:p>
    <w:p w14:paraId="7F792219" w14:textId="47B5EEC8" w:rsidR="0088477C" w:rsidRDefault="00315025" w:rsidP="00213B0F">
      <w:pPr>
        <w:pStyle w:val="UnidaviTexto-Espao15"/>
      </w:pPr>
      <w:r>
        <w:t>De acordo com Meirelles (2006)</w:t>
      </w:r>
      <w:r w:rsidR="003C0DAE">
        <w:t>,</w:t>
      </w:r>
      <w:r>
        <w:t xml:space="preserve"> “Ocorre a inexigibilidade de licitação quando há impossibilidade jurídica de competição entre contratantes, quer pela natureza específica do negócio, quer pelos objetivos socais visados pela Administração.”. </w:t>
      </w:r>
    </w:p>
    <w:p w14:paraId="2522BE27" w14:textId="569EF0BD" w:rsidR="00C600C3" w:rsidRDefault="00C600C3" w:rsidP="00AF4746">
      <w:pPr>
        <w:pStyle w:val="UnidaviTexto-Espao15"/>
      </w:pPr>
      <w:r>
        <w:t xml:space="preserve">A Lei </w:t>
      </w:r>
      <w:r w:rsidR="00BF73D3">
        <w:t xml:space="preserve">nº </w:t>
      </w:r>
      <w:r>
        <w:t>8.666/93 destaca que</w:t>
      </w:r>
      <w:r w:rsidR="003C0DAE">
        <w:t xml:space="preserve"> “É</w:t>
      </w:r>
      <w:r w:rsidR="00315025">
        <w:t xml:space="preserve"> inexigível a licitação quando houver inviabilidade de competição, em especial”, nos casos demonstrados no Quadro </w:t>
      </w:r>
      <w:r w:rsidR="006B4F46">
        <w:t>11</w:t>
      </w:r>
      <w:r>
        <w:t>.</w:t>
      </w:r>
    </w:p>
    <w:p w14:paraId="5A1F41A9" w14:textId="2A23538A" w:rsidR="00A848CA" w:rsidRDefault="00A848CA" w:rsidP="00B80A5B">
      <w:pPr>
        <w:pStyle w:val="UnidaviTexto-Espao15"/>
        <w:ind w:firstLine="0"/>
      </w:pPr>
    </w:p>
    <w:p w14:paraId="3DBF46C5" w14:textId="571351EA" w:rsidR="00315025" w:rsidRPr="00C600C3" w:rsidRDefault="001B60D4" w:rsidP="00A848CA">
      <w:pPr>
        <w:pStyle w:val="UnidaviTexto-Espao15"/>
        <w:spacing w:line="240" w:lineRule="auto"/>
        <w:ind w:left="284" w:firstLine="0"/>
        <w:rPr>
          <w:b/>
          <w:sz w:val="20"/>
        </w:rPr>
      </w:pPr>
      <w:r>
        <w:rPr>
          <w:b/>
          <w:sz w:val="20"/>
        </w:rPr>
        <w:t>Quadro 11</w:t>
      </w:r>
      <w:r w:rsidR="00C600C3" w:rsidRPr="00C600C3">
        <w:rPr>
          <w:b/>
          <w:sz w:val="20"/>
        </w:rPr>
        <w:t xml:space="preserve"> – Casos em que existe a inexigibilidade de licitação</w:t>
      </w:r>
    </w:p>
    <w:tbl>
      <w:tblPr>
        <w:tblStyle w:val="Tabelacomgrade"/>
        <w:tblW w:w="8221" w:type="dxa"/>
        <w:tblInd w:w="279" w:type="dxa"/>
        <w:tblLook w:val="04A0" w:firstRow="1" w:lastRow="0" w:firstColumn="1" w:lastColumn="0" w:noHBand="0" w:noVBand="1"/>
      </w:tblPr>
      <w:tblGrid>
        <w:gridCol w:w="1984"/>
        <w:gridCol w:w="6237"/>
      </w:tblGrid>
      <w:tr w:rsidR="00B12A83" w14:paraId="463255BE" w14:textId="77777777" w:rsidTr="00A848CA">
        <w:trPr>
          <w:trHeight w:val="375"/>
        </w:trPr>
        <w:tc>
          <w:tcPr>
            <w:tcW w:w="1984" w:type="dxa"/>
          </w:tcPr>
          <w:p w14:paraId="58C5EDD9" w14:textId="77777777" w:rsidR="00C600C3" w:rsidRDefault="00C600C3" w:rsidP="00315025">
            <w:pPr>
              <w:pStyle w:val="UnidaviTexto-Espao15"/>
              <w:ind w:firstLine="0"/>
              <w:rPr>
                <w:b/>
                <w:sz w:val="20"/>
              </w:rPr>
            </w:pPr>
          </w:p>
          <w:p w14:paraId="72D69F15" w14:textId="77777777" w:rsidR="00C600C3" w:rsidRDefault="00C600C3" w:rsidP="00315025">
            <w:pPr>
              <w:pStyle w:val="UnidaviTexto-Espao15"/>
              <w:ind w:firstLine="0"/>
              <w:rPr>
                <w:b/>
                <w:sz w:val="20"/>
              </w:rPr>
            </w:pPr>
          </w:p>
          <w:p w14:paraId="57C48E09" w14:textId="1A835857" w:rsidR="00C600C3" w:rsidRDefault="00C600C3" w:rsidP="00315025">
            <w:pPr>
              <w:pStyle w:val="UnidaviTexto-Espao15"/>
              <w:ind w:firstLine="0"/>
              <w:rPr>
                <w:b/>
                <w:sz w:val="20"/>
              </w:rPr>
            </w:pPr>
          </w:p>
          <w:p w14:paraId="4B8339B2" w14:textId="77777777" w:rsidR="00C600C3" w:rsidRDefault="00C600C3" w:rsidP="00315025">
            <w:pPr>
              <w:pStyle w:val="UnidaviTexto-Espao15"/>
              <w:ind w:firstLine="0"/>
              <w:rPr>
                <w:b/>
                <w:sz w:val="20"/>
              </w:rPr>
            </w:pPr>
          </w:p>
          <w:p w14:paraId="6D1B7F62" w14:textId="787C16CA" w:rsidR="00B12A83" w:rsidRPr="00C600C3" w:rsidRDefault="00B12A83" w:rsidP="00C600C3">
            <w:pPr>
              <w:pStyle w:val="UnidaviTexto-Espao15"/>
              <w:ind w:firstLine="0"/>
              <w:jc w:val="center"/>
              <w:rPr>
                <w:b/>
                <w:sz w:val="20"/>
              </w:rPr>
            </w:pPr>
            <w:r w:rsidRPr="00C600C3">
              <w:rPr>
                <w:b/>
                <w:sz w:val="20"/>
              </w:rPr>
              <w:t>Inexigibilidade</w:t>
            </w:r>
          </w:p>
        </w:tc>
        <w:tc>
          <w:tcPr>
            <w:tcW w:w="6237" w:type="dxa"/>
          </w:tcPr>
          <w:p w14:paraId="09CC7ED2" w14:textId="77777777" w:rsidR="00C600C3" w:rsidRDefault="00B12A83" w:rsidP="00B12A83">
            <w:pPr>
              <w:pStyle w:val="UnidaviTexto-Espao15"/>
              <w:spacing w:line="240" w:lineRule="auto"/>
              <w:ind w:firstLine="0"/>
              <w:rPr>
                <w:sz w:val="20"/>
              </w:rPr>
            </w:pPr>
            <w:r w:rsidRPr="00C600C3">
              <w:rPr>
                <w:sz w:val="20"/>
              </w:rPr>
              <w:lastRenderedPageBreak/>
              <w:t xml:space="preserve">I – Para aquisição de materiais, equipamentos, ou gêneros que só possam ser fornecidos por produtor, empresa ou representante comercial exclusivo, </w:t>
            </w:r>
            <w:r w:rsidRPr="00C600C3">
              <w:rPr>
                <w:sz w:val="20"/>
              </w:rPr>
              <w:lastRenderedPageBreak/>
              <w:t>vedada a preferência de 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14:paraId="1983F768" w14:textId="440EE0A2" w:rsidR="00B12A83" w:rsidRPr="00C600C3" w:rsidRDefault="00B12A83" w:rsidP="00B12A83">
            <w:pPr>
              <w:pStyle w:val="UnidaviTexto-Espao15"/>
              <w:spacing w:line="240" w:lineRule="auto"/>
              <w:ind w:firstLine="0"/>
              <w:rPr>
                <w:sz w:val="20"/>
              </w:rPr>
            </w:pPr>
            <w:r w:rsidRPr="00C600C3">
              <w:rPr>
                <w:sz w:val="20"/>
              </w:rPr>
              <w:t xml:space="preserve">  </w:t>
            </w:r>
          </w:p>
          <w:p w14:paraId="5CAE80A9" w14:textId="77777777" w:rsidR="00B12A83" w:rsidRDefault="00B12A83" w:rsidP="00B12A83">
            <w:pPr>
              <w:pStyle w:val="UnidaviTexto-Espao15"/>
              <w:spacing w:line="240" w:lineRule="auto"/>
              <w:ind w:firstLine="0"/>
              <w:rPr>
                <w:sz w:val="20"/>
              </w:rPr>
            </w:pPr>
            <w:r w:rsidRPr="00C600C3">
              <w:rPr>
                <w:sz w:val="20"/>
              </w:rPr>
              <w:t xml:space="preserve">II – Para a contratação de serviços técnicos enumerados no art. 13 desta Lei, de natureza singular, </w:t>
            </w:r>
            <w:r w:rsidR="00C600C3" w:rsidRPr="00C600C3">
              <w:rPr>
                <w:sz w:val="20"/>
              </w:rPr>
              <w:t>com profissionais ou empresas de notória especialização, vedada a inexigibilidade para serviços de publicidade e divulgação</w:t>
            </w:r>
            <w:r w:rsidR="00C600C3">
              <w:rPr>
                <w:sz w:val="20"/>
              </w:rPr>
              <w:t>;</w:t>
            </w:r>
          </w:p>
          <w:p w14:paraId="6F1FF284" w14:textId="77777777" w:rsidR="00C600C3" w:rsidRDefault="00C600C3" w:rsidP="00B12A83">
            <w:pPr>
              <w:pStyle w:val="UnidaviTexto-Espao15"/>
              <w:spacing w:line="240" w:lineRule="auto"/>
              <w:ind w:firstLine="0"/>
              <w:rPr>
                <w:sz w:val="20"/>
              </w:rPr>
            </w:pPr>
          </w:p>
          <w:p w14:paraId="52F2C311" w14:textId="742851DD" w:rsidR="00C600C3" w:rsidRPr="00C600C3" w:rsidRDefault="00C600C3" w:rsidP="00B12A83">
            <w:pPr>
              <w:pStyle w:val="UnidaviTexto-Espao15"/>
              <w:spacing w:line="240" w:lineRule="auto"/>
              <w:ind w:firstLine="0"/>
              <w:rPr>
                <w:sz w:val="20"/>
              </w:rPr>
            </w:pPr>
            <w:r>
              <w:rPr>
                <w:sz w:val="20"/>
              </w:rPr>
              <w:t xml:space="preserve">III – Para contratação de profissional de qualquer setor artístico, diretamente ou através de empresário exclusivo, desde que consagrado pela crítica especializada ou pela opinião pública. </w:t>
            </w:r>
          </w:p>
        </w:tc>
      </w:tr>
    </w:tbl>
    <w:p w14:paraId="2D12C707" w14:textId="26A403C6" w:rsidR="00315025" w:rsidRDefault="00C600C3" w:rsidP="00A848CA">
      <w:pPr>
        <w:pStyle w:val="UnidaviTexto-Espao15"/>
        <w:ind w:left="284" w:firstLine="0"/>
        <w:rPr>
          <w:sz w:val="20"/>
        </w:rPr>
      </w:pPr>
      <w:r w:rsidRPr="00C600C3">
        <w:rPr>
          <w:sz w:val="20"/>
        </w:rPr>
        <w:lastRenderedPageBreak/>
        <w:t xml:space="preserve">Fonte: Elaborado a partir da Lei </w:t>
      </w:r>
      <w:r w:rsidR="00BF73D3">
        <w:rPr>
          <w:sz w:val="20"/>
        </w:rPr>
        <w:t xml:space="preserve">nº </w:t>
      </w:r>
      <w:r w:rsidRPr="00C600C3">
        <w:rPr>
          <w:sz w:val="20"/>
        </w:rPr>
        <w:t>8.666/93</w:t>
      </w:r>
    </w:p>
    <w:p w14:paraId="53B2289F" w14:textId="61492FFC" w:rsidR="00C600C3" w:rsidRDefault="00C600C3" w:rsidP="00213B0F">
      <w:pPr>
        <w:pStyle w:val="UnidaviTexto-Espao15"/>
        <w:ind w:firstLine="0"/>
        <w:rPr>
          <w:sz w:val="20"/>
        </w:rPr>
      </w:pPr>
    </w:p>
    <w:p w14:paraId="4DF4B14D" w14:textId="566D6DEE" w:rsidR="00C600C3" w:rsidRDefault="00C600C3" w:rsidP="00C600C3">
      <w:pPr>
        <w:pStyle w:val="UnidaviTexto-Espao15"/>
      </w:pPr>
      <w:r>
        <w:t xml:space="preserve">Bacellar </w:t>
      </w:r>
      <w:r w:rsidR="003C0DAE">
        <w:t>(2007)</w:t>
      </w:r>
      <w:r w:rsidR="009718CD">
        <w:t xml:space="preserve"> conclui </w:t>
      </w:r>
      <w:r w:rsidR="003C0DAE">
        <w:t xml:space="preserve">que </w:t>
      </w:r>
      <w:r w:rsidR="009718CD">
        <w:t xml:space="preserve">“Pressupondo a inviabilidade da competição, em razão da natureza do negócio, do objeto a ser licitado ou da notória ausência de competidores, impede a realização da licitação.”. </w:t>
      </w:r>
    </w:p>
    <w:p w14:paraId="03BE500F" w14:textId="0EAA3B54" w:rsidR="009D1C31" w:rsidRDefault="009718CD" w:rsidP="00213B0F">
      <w:pPr>
        <w:pStyle w:val="UnidaviTexto-Espao15"/>
      </w:pPr>
      <w:r>
        <w:t>Já no que se refere à dispensa de licitação,</w:t>
      </w:r>
      <w:r w:rsidR="00157585">
        <w:t xml:space="preserve"> Bacellar (2007) descreve que “É</w:t>
      </w:r>
      <w:r>
        <w:t xml:space="preserve"> um ato discricionário, facultando-se à Administração P</w:t>
      </w:r>
      <w:r w:rsidR="009D1C31">
        <w:t xml:space="preserve">ública, diante do caso concreto, realizar a licitação ou deixar de realiza-la, mediante avaliação dos critérios de conveniência e oportunidade.”. As situações em que a licitação é dispensada estão descritas no art. 25 da Lei </w:t>
      </w:r>
      <w:r w:rsidR="00BF73D3">
        <w:t xml:space="preserve">nº </w:t>
      </w:r>
      <w:r w:rsidR="009D1C31">
        <w:t>8.666/93.</w:t>
      </w:r>
    </w:p>
    <w:p w14:paraId="0B1683AE" w14:textId="6AAC1B80" w:rsidR="0088477C" w:rsidRPr="00C600C3" w:rsidRDefault="0088477C" w:rsidP="00213B0F">
      <w:pPr>
        <w:pStyle w:val="UnidaviTexto-Espao15"/>
        <w:ind w:firstLine="0"/>
      </w:pPr>
    </w:p>
    <w:p w14:paraId="1098B980" w14:textId="1A173950" w:rsidR="00E7400A" w:rsidRDefault="00F843FF" w:rsidP="00434F20">
      <w:pPr>
        <w:pStyle w:val="UNIDAVISEOSECUNDARIA"/>
        <w:spacing w:line="360" w:lineRule="auto"/>
        <w:jc w:val="both"/>
      </w:pPr>
      <w:r>
        <w:t>2.9</w:t>
      </w:r>
      <w:r w:rsidR="0088477C">
        <w:t xml:space="preserve"> Nova Lei de Licitações nº 14.133/2021 – principais mudanças </w:t>
      </w:r>
    </w:p>
    <w:p w14:paraId="2C4B9A0A" w14:textId="1AA4D755" w:rsidR="00AB3634" w:rsidRDefault="00AB3634" w:rsidP="00434F20">
      <w:pPr>
        <w:pStyle w:val="UNIDAVISEOPRIMRIA"/>
        <w:spacing w:line="360" w:lineRule="auto"/>
        <w:jc w:val="both"/>
      </w:pPr>
    </w:p>
    <w:p w14:paraId="40E5A49B" w14:textId="3DAC5B87" w:rsidR="0088477C" w:rsidRDefault="009868D1" w:rsidP="00213B0F">
      <w:pPr>
        <w:pStyle w:val="UnidaviTexto-Espao15"/>
      </w:pPr>
      <w:r>
        <w:t xml:space="preserve">Nesta seção, serão abordadas algumas das mudanças que a Lei </w:t>
      </w:r>
      <w:r w:rsidR="00BF73D3">
        <w:t xml:space="preserve">nº </w:t>
      </w:r>
      <w:r>
        <w:t>14.133/2021 trouxe a respeito das licitações</w:t>
      </w:r>
      <w:r w:rsidR="00BB73CE">
        <w:t xml:space="preserve"> visto ainda é muito recente e um assunto que precisa ser muito estudado. </w:t>
      </w:r>
      <w:r>
        <w:t xml:space="preserve">Uma </w:t>
      </w:r>
      <w:r w:rsidR="00BB73CE">
        <w:t>dessas mudanças</w:t>
      </w:r>
      <w:r>
        <w:t xml:space="preserve">, foi o aumento dos princípios norteadores da licitação. </w:t>
      </w:r>
    </w:p>
    <w:p w14:paraId="16CAB1E0" w14:textId="77777777" w:rsidR="0031337A" w:rsidRDefault="0031337A" w:rsidP="00213B0F">
      <w:pPr>
        <w:pStyle w:val="UnidaviTexto-Espao15"/>
      </w:pPr>
    </w:p>
    <w:p w14:paraId="50651B68" w14:textId="1020880D" w:rsidR="001D01CE" w:rsidRDefault="009868D1" w:rsidP="00213B0F">
      <w:pPr>
        <w:pStyle w:val="UnidaviCitaoLonga"/>
      </w:pPr>
      <w:r>
        <w:t>Na aplicação desta lei, serão observados os princípios da legalidade, da impessoalidade, da moralidade, da publicidade, da eficiência, do interesse público, da probidade administrativa, da igualdade, do planejamento, da transparência, da eficácia, da segregação de funções, da motivação, da vinculação ao edital, do julgamento objetivo, da segurança j</w:t>
      </w:r>
      <w:r w:rsidR="0031337A">
        <w:t>urí</w:t>
      </w:r>
      <w:r>
        <w:t>dica,</w:t>
      </w:r>
      <w:r w:rsidR="0031337A">
        <w:t xml:space="preserve"> da razoabilidade, da competitividade, da proporcionalidade, da celeridade, da economicidade, e do desenvolvimento nacional sustentável, assim como as disposições do Decreto-lei 4.657, de 4 de setembro de 1942. (LEI </w:t>
      </w:r>
      <w:r w:rsidR="00BF73D3">
        <w:t xml:space="preserve">nº </w:t>
      </w:r>
      <w:r w:rsidR="0031337A">
        <w:t>14.133/2021, Art. 5º).</w:t>
      </w:r>
    </w:p>
    <w:p w14:paraId="47D9C484" w14:textId="77777777" w:rsidR="00213B0F" w:rsidRDefault="00213B0F" w:rsidP="00434F20">
      <w:pPr>
        <w:pStyle w:val="UnidaviTexto-Espao15"/>
      </w:pPr>
    </w:p>
    <w:p w14:paraId="78EFFD9D" w14:textId="3A90FC60" w:rsidR="005B5F12" w:rsidRDefault="001D01CE" w:rsidP="00213B0F">
      <w:pPr>
        <w:pStyle w:val="UnidaviTexto-Espao15"/>
      </w:pPr>
      <w:r>
        <w:t xml:space="preserve">Outra grande mudança ocorreu quanto às modalidades de licitação, onde a modalidade pregão agora passa a fazer parte da mesma lei, que integra as demais modalidades. A tomada de preços e convite foram excluídas, e criou-se uma nova modalidade, denominada diálogo competitivo. De acordo com a Lei </w:t>
      </w:r>
      <w:r w:rsidR="00BF73D3">
        <w:t xml:space="preserve">nº </w:t>
      </w:r>
      <w:r>
        <w:t xml:space="preserve">14.133/2021 “São </w:t>
      </w:r>
      <w:r>
        <w:lastRenderedPageBreak/>
        <w:t>modalidades de licitação: I - pregão; II -  concorrência; III – concurso; IV – leilão; V – diálogo competitivo.”.  Quanto aos critérios para a escolha e uso, agora todas as modalidades passam a ser designadas pela natureza do objeto, e não mais pelo valor correspondente.</w:t>
      </w:r>
    </w:p>
    <w:p w14:paraId="24E21E0C" w14:textId="238129DC" w:rsidR="005B5F12" w:rsidRDefault="00BB73CE" w:rsidP="00434F20">
      <w:pPr>
        <w:pStyle w:val="UnidaviTexto-Espao15"/>
      </w:pPr>
      <w:r>
        <w:t>Almeida (2021) cita as mudanças que ocorreram nos objetivos e finalidades da licitação com a nova Lei:</w:t>
      </w:r>
    </w:p>
    <w:p w14:paraId="42221E2C" w14:textId="77777777" w:rsidR="00434F20" w:rsidRDefault="00434F20" w:rsidP="00434F20">
      <w:pPr>
        <w:pStyle w:val="UnidaviTexto-Espao15"/>
        <w:ind w:firstLine="0"/>
      </w:pPr>
    </w:p>
    <w:p w14:paraId="5A94F0E3" w14:textId="457EF853" w:rsidR="00BB73CE" w:rsidRDefault="00BB73CE" w:rsidP="00704715">
      <w:pPr>
        <w:pStyle w:val="UnidaviCitaoLonga"/>
      </w:pPr>
      <w:r>
        <w:t>Assegurar a seleção da proposta apta a gerar o resultado de contratação mais vantajoso para a Administração Pública, inclusive no que se ref</w:t>
      </w:r>
      <w:r w:rsidR="00704715">
        <w:t>ere ao ciclo de vida do objeto; a</w:t>
      </w:r>
      <w:r>
        <w:t>ssegurar</w:t>
      </w:r>
      <w:r w:rsidR="00704715">
        <w:t xml:space="preserve">, </w:t>
      </w:r>
      <w:r>
        <w:t xml:space="preserve">tratamento isonômico entre os licitantes, </w:t>
      </w:r>
      <w:r w:rsidR="00704715">
        <w:t>bem como a justa competição; evitar contratações com sobre preço ou com preços manifestamente inexequíveis e superfaturamento na execução dos contratos; e incentivar a inovação e o desenvolvimento nacional sustentável. (ALMEIDA, 2021, p. 16).</w:t>
      </w:r>
    </w:p>
    <w:p w14:paraId="103B4E46" w14:textId="71B87BF3" w:rsidR="005B5F12" w:rsidRDefault="005B5F12" w:rsidP="00434F20">
      <w:pPr>
        <w:pStyle w:val="UnidaviTexto-Espao15"/>
        <w:ind w:firstLine="0"/>
      </w:pPr>
    </w:p>
    <w:p w14:paraId="2935E48D" w14:textId="41757C2C" w:rsidR="00F21050" w:rsidRDefault="001D01CE" w:rsidP="00434F20">
      <w:pPr>
        <w:pStyle w:val="UnidaviTexto-Espao15"/>
      </w:pPr>
      <w:r>
        <w:t xml:space="preserve">Sem contar que ocorreram mudanças em cada modalidade, segundo </w:t>
      </w:r>
      <w:r w:rsidR="007476D3">
        <w:t>Almeida</w:t>
      </w:r>
      <w:r>
        <w:t xml:space="preserve"> (2021), a modalidade pregão, agora passa a ser obrigatória para a aquisição e contratação de bens e serviços. Na modalidade leilão, a alienação de bens, engloba </w:t>
      </w:r>
      <w:r w:rsidR="007476D3">
        <w:t xml:space="preserve">tanto </w:t>
      </w:r>
      <w:r>
        <w:t>bens m</w:t>
      </w:r>
      <w:r w:rsidR="007476D3">
        <w:t>óveis como bens</w:t>
      </w:r>
      <w:r>
        <w:t xml:space="preserve"> imóveis, inservíveis ou legalmente apreendidos a quem oferecer o maior lance, independentemente do valor ou da forma da aquisição.</w:t>
      </w:r>
      <w:r w:rsidR="007476D3">
        <w:t xml:space="preserve"> A modalidade concorrência, não pode mais ser aplicada à alienação de bens. E a grande novidade, que foi a criação da modalidade diálogo competitivo, conforme descreve a Lei </w:t>
      </w:r>
      <w:r w:rsidR="00BF710A">
        <w:t xml:space="preserve">nº </w:t>
      </w:r>
      <w:r w:rsidR="007476D3">
        <w:t>14.133/2021:</w:t>
      </w:r>
    </w:p>
    <w:p w14:paraId="3734743A" w14:textId="77777777" w:rsidR="00434F20" w:rsidRDefault="00434F20" w:rsidP="00434F20">
      <w:pPr>
        <w:pStyle w:val="UnidaviTexto-Espao15"/>
      </w:pPr>
    </w:p>
    <w:p w14:paraId="779168A5" w14:textId="1ED53C3E" w:rsidR="007476D3" w:rsidRDefault="007476D3" w:rsidP="00F21050">
      <w:pPr>
        <w:pStyle w:val="UnidaviCitaoLonga"/>
      </w:pPr>
      <w:r>
        <w:t xml:space="preserve">Diálogo competitivo: modalidade de licitação para contratação de obras, serviços e compras em que a Administração Pública, realiza diálogos com licitantes previamente selecionados mediante critérios objetivos, com o intuito de desenvolver uma ou mais alternativas capazes de atender às suas necessidades, devendo os licitantes apresentar proposta final </w:t>
      </w:r>
      <w:r w:rsidR="00F21050">
        <w:t xml:space="preserve">após o encerramento dos diálogos. (LEI </w:t>
      </w:r>
      <w:r w:rsidR="00BF710A">
        <w:t xml:space="preserve">nº </w:t>
      </w:r>
      <w:r w:rsidR="00F21050">
        <w:t>14.133/2021, Art. 6</w:t>
      </w:r>
      <w:r w:rsidR="00F04996">
        <w:t>º</w:t>
      </w:r>
      <w:r w:rsidR="00F21050">
        <w:t>, inciso XLII).</w:t>
      </w:r>
      <w:r>
        <w:t xml:space="preserve"> </w:t>
      </w:r>
    </w:p>
    <w:p w14:paraId="2367359A" w14:textId="0A49618A" w:rsidR="00F21050" w:rsidRDefault="00F21050" w:rsidP="00213B0F">
      <w:pPr>
        <w:pStyle w:val="UnidaviCitaoLonga"/>
        <w:spacing w:line="360" w:lineRule="auto"/>
        <w:ind w:left="0"/>
      </w:pPr>
    </w:p>
    <w:p w14:paraId="1A428C8F" w14:textId="7B675809" w:rsidR="00F21050" w:rsidRDefault="00F21050" w:rsidP="00213B0F">
      <w:pPr>
        <w:pStyle w:val="UnidaviTexto-Espao15"/>
      </w:pPr>
      <w:r>
        <w:t xml:space="preserve">De acordo com a Lei </w:t>
      </w:r>
      <w:r w:rsidR="00BF710A">
        <w:t xml:space="preserve">nº </w:t>
      </w:r>
      <w:r>
        <w:t>14.133/2021 em seu Art. 33, os critérios de julgamen</w:t>
      </w:r>
      <w:r w:rsidR="00157585">
        <w:t>to também sofreram alterações “</w:t>
      </w:r>
      <w:r>
        <w:t xml:space="preserve">O julgamento das propostas será realizado de acordo com os seguintes critérios: I – menor preço; II – maior desconto; III -  melhor técnica ou conteúdo artístico; IV – técnica e preço; V – maior lance, no caso de leilão; e VI – maior retorno econômico.”. Conforme Herbert (2021), vale ressaltar que, não se pode confundir a melhor técnica ou conteúdo artístico com a melhor técnica da Lei </w:t>
      </w:r>
      <w:r w:rsidR="00BF710A">
        <w:t xml:space="preserve">nº </w:t>
      </w:r>
      <w:r>
        <w:t>8.666/93</w:t>
      </w:r>
      <w:r w:rsidR="00EA3C34">
        <w:t>. Uma vez que, a melhor técnica ou conteúdo artístico não considera o preço e pode ser adota na modalidade concurso, características que na melhor técnica não eram possíveis. Alerta ainda, que o maior lance fica restrito apenas à modalidade leilão, e que o critério de maior retorno econômico é cabível aos contratos de eficiência.</w:t>
      </w:r>
      <w:r w:rsidR="005A4BD0">
        <w:t xml:space="preserve"> E </w:t>
      </w:r>
      <w:r w:rsidR="00387FF8">
        <w:t xml:space="preserve">ainda, houve mudanças no quesito modo de disputa: </w:t>
      </w:r>
    </w:p>
    <w:p w14:paraId="2D7D2D9C" w14:textId="77777777" w:rsidR="00387FF8" w:rsidRDefault="00387FF8" w:rsidP="00434F20">
      <w:pPr>
        <w:pStyle w:val="UnidaviTexto-Espao15"/>
        <w:ind w:firstLine="0"/>
      </w:pPr>
    </w:p>
    <w:p w14:paraId="282CE8DF" w14:textId="34E32AD1" w:rsidR="00F04996" w:rsidRDefault="00F04996" w:rsidP="00D050B9">
      <w:pPr>
        <w:pStyle w:val="UnidaviCitaoLonga"/>
      </w:pPr>
      <w:r>
        <w:t>O modo de disputa poderá ser, isolada ou conjuntamente:</w:t>
      </w:r>
    </w:p>
    <w:p w14:paraId="09EE757C" w14:textId="74C7BF91" w:rsidR="00F04996" w:rsidRDefault="00F04996" w:rsidP="00D050B9">
      <w:pPr>
        <w:pStyle w:val="UnidaviCitaoLonga"/>
      </w:pPr>
      <w:r>
        <w:lastRenderedPageBreak/>
        <w:t>I – Aberto, hipótese em que os licitantes apresentarão suas propostas por meio de lances públicos e sucessivos, crescentes ou decrescentes;</w:t>
      </w:r>
    </w:p>
    <w:p w14:paraId="0A6571CD" w14:textId="23AC5F17" w:rsidR="00F04996" w:rsidRDefault="00F04996" w:rsidP="00D050B9">
      <w:pPr>
        <w:pStyle w:val="UnidaviCitaoLonga"/>
      </w:pPr>
      <w:r>
        <w:t>II – Fechado, hipótese em que as propostas permanecerão em sigilo até a data e hora designadas para a sua divulgação;</w:t>
      </w:r>
    </w:p>
    <w:p w14:paraId="26C8CADA" w14:textId="1005D0A5" w:rsidR="00F04996" w:rsidRDefault="00F04996" w:rsidP="00D050B9">
      <w:pPr>
        <w:pStyle w:val="UnidaviCitaoLonga"/>
      </w:pPr>
      <w:r>
        <w:t>§ 1º A utilização isolada do modo de disputa fechado será vedada quando adotados os critérios de julgamento de menor preço ou de maior desconto.</w:t>
      </w:r>
    </w:p>
    <w:p w14:paraId="4A220E0D" w14:textId="7E1F21A0" w:rsidR="00F04996" w:rsidRDefault="00F04996" w:rsidP="00D050B9">
      <w:pPr>
        <w:pStyle w:val="UnidaviCitaoLonga"/>
      </w:pPr>
      <w:r>
        <w:t>§ 2º A utilização do modo de disputa aberto será vedada quando adotado o critério de julgamento de técnica e preço.</w:t>
      </w:r>
    </w:p>
    <w:p w14:paraId="64F61C62" w14:textId="77777777" w:rsidR="00D050B9" w:rsidRDefault="00D050B9" w:rsidP="00D050B9">
      <w:pPr>
        <w:pStyle w:val="UnidaviCitaoLonga"/>
      </w:pPr>
      <w:r>
        <w:t>§ 3º Serão considerados intermediários os lances:</w:t>
      </w:r>
    </w:p>
    <w:p w14:paraId="0B59F23C" w14:textId="5DA47BE1" w:rsidR="00D050B9" w:rsidRDefault="00D050B9" w:rsidP="00D050B9">
      <w:pPr>
        <w:pStyle w:val="UnidaviCitaoLonga"/>
      </w:pPr>
      <w:r>
        <w:t>I – Iguais ou inferiores ao maior já ofertado, quando adotado o critério de julgamento de maior lance;</w:t>
      </w:r>
    </w:p>
    <w:p w14:paraId="65AB49B4" w14:textId="62CC0B9F" w:rsidR="005A4BD0" w:rsidRDefault="00D050B9" w:rsidP="00213B0F">
      <w:pPr>
        <w:pStyle w:val="UnidaviCitaoLonga"/>
      </w:pPr>
      <w:r>
        <w:t>II – Iguais ou superiores ao menor já ofertado, quando adotados os demais critérios de julgamento.</w:t>
      </w:r>
      <w:r w:rsidRPr="00D050B9">
        <w:t xml:space="preserve"> </w:t>
      </w:r>
      <w:r w:rsidR="00213B0F">
        <w:t xml:space="preserve">(LEI </w:t>
      </w:r>
      <w:r w:rsidR="00BF710A">
        <w:t xml:space="preserve">nº </w:t>
      </w:r>
      <w:r w:rsidR="00213B0F">
        <w:t>14.133/2021, Art. 56)</w:t>
      </w:r>
    </w:p>
    <w:p w14:paraId="2A285B64" w14:textId="4CA206A3" w:rsidR="005A4BD0" w:rsidRDefault="005A4BD0" w:rsidP="00213B0F">
      <w:pPr>
        <w:pStyle w:val="UnidaviCitaoLonga"/>
        <w:spacing w:line="360" w:lineRule="auto"/>
        <w:ind w:left="0"/>
      </w:pPr>
    </w:p>
    <w:p w14:paraId="68368BB3" w14:textId="71707964" w:rsidR="00AB3634" w:rsidRDefault="005A4BD0" w:rsidP="00AF6FFA">
      <w:pPr>
        <w:pStyle w:val="UnidaviTexto-Espao15"/>
      </w:pPr>
      <w:r>
        <w:t>Os modos de disputa que antes não eram previstos, agora estão expressos na Lei e podem ser adotados isoladamente ou em conjunto. D</w:t>
      </w:r>
      <w:r w:rsidR="00387FF8">
        <w:t>ito isso, d</w:t>
      </w:r>
      <w:r>
        <w:t xml:space="preserve">e uma forma muito resumida, foram apresentadas algumas das muitas mudanças que a Lei 14.133/2021 aborda sobre as licitações. Vale ressaltar que o </w:t>
      </w:r>
      <w:r w:rsidR="00387FF8">
        <w:t xml:space="preserve">não </w:t>
      </w:r>
      <w:r>
        <w:t xml:space="preserve">aprofundamento na nova Lei de licitações, não é </w:t>
      </w:r>
      <w:r w:rsidR="00387FF8">
        <w:t>prejudicial ao presente trabalho, visto que o mesmo, utilizará de análise de documentos e licit</w:t>
      </w:r>
      <w:r w:rsidR="003C3CF9">
        <w:t>ações referente aos anos de 2017</w:t>
      </w:r>
      <w:r w:rsidR="00387FF8">
        <w:t xml:space="preserve"> a 2020, as quais foram regidas pela Lei </w:t>
      </w:r>
      <w:r w:rsidR="00BF710A">
        <w:t xml:space="preserve">nº </w:t>
      </w:r>
      <w:r w:rsidR="00387FF8">
        <w:t>8.666/93.</w:t>
      </w:r>
    </w:p>
    <w:p w14:paraId="5A3FB840" w14:textId="270CC479" w:rsidR="006E3776" w:rsidRDefault="006E3776">
      <w:pPr>
        <w:spacing w:after="160" w:line="259" w:lineRule="auto"/>
        <w:rPr>
          <w:b/>
          <w:caps/>
        </w:rPr>
      </w:pPr>
    </w:p>
    <w:p w14:paraId="39FFDF90" w14:textId="4EACE7A6" w:rsidR="00F174EE" w:rsidRDefault="00F174EE" w:rsidP="00213B0F">
      <w:pPr>
        <w:pStyle w:val="UNIDAVISEOPRIMRIA"/>
        <w:spacing w:line="360" w:lineRule="auto"/>
        <w:rPr>
          <w:lang w:val="pt-BR"/>
        </w:rPr>
      </w:pPr>
      <w:r w:rsidRPr="00830E21">
        <w:rPr>
          <w:lang w:val="pt-BR"/>
        </w:rPr>
        <w:t>3. Metodologia</w:t>
      </w:r>
      <w:r w:rsidR="00AA10EA">
        <w:rPr>
          <w:lang w:val="pt-BR"/>
        </w:rPr>
        <w:t xml:space="preserve"> DA PESQUISA</w:t>
      </w:r>
    </w:p>
    <w:p w14:paraId="317228EF" w14:textId="48A6B308" w:rsidR="00E973C1" w:rsidRDefault="00E973C1" w:rsidP="00213B0F">
      <w:pPr>
        <w:pStyle w:val="UNIDAVISEOPRIMRIA"/>
        <w:spacing w:line="360" w:lineRule="auto"/>
        <w:rPr>
          <w:lang w:val="pt-BR"/>
        </w:rPr>
      </w:pPr>
    </w:p>
    <w:p w14:paraId="0EB3D89E" w14:textId="348FC182" w:rsidR="00512AD7" w:rsidRDefault="001C33A8" w:rsidP="00512AD7">
      <w:pPr>
        <w:pStyle w:val="UnidaviTexto-Espao15"/>
      </w:pPr>
      <w:r>
        <w:t>O presente trabalho de conclusão de curso</w:t>
      </w:r>
      <w:r w:rsidR="0021509B">
        <w:t>,</w:t>
      </w:r>
      <w:r>
        <w:t xml:space="preserve"> caracteriza-se como pesquisa descritiva, pelo fato de analisar o processo licitatório na prefeitura do muni</w:t>
      </w:r>
      <w:r w:rsidR="00186AA7">
        <w:t>cípio de Taió no período de 2017</w:t>
      </w:r>
      <w:r>
        <w:t xml:space="preserve"> a 2020. </w:t>
      </w:r>
      <w:r w:rsidR="0021509B">
        <w:t>Segundo Gil (2018</w:t>
      </w:r>
      <w:r w:rsidR="006808B4">
        <w:t>,</w:t>
      </w:r>
      <w:r w:rsidR="0021509B">
        <w:t xml:space="preserve"> p. 26) a pesquisa descritiva “[...] têm como objetivo primordial, a descrição das características de determinada população ou fenômeno ou o estabelecimento de relações entre variáveis.”. </w:t>
      </w:r>
      <w:r w:rsidR="00512AD7">
        <w:t xml:space="preserve">A pesquisa buscou evidenciar as modalidades de licitação utilizadas nesse período, identificar o valor das licitações anualmente, demonstrar os valores gastos na aquisição de cada espécie de bem ou serviço, verificar quantas empresas </w:t>
      </w:r>
      <w:r w:rsidR="0021509B">
        <w:t>participantes</w:t>
      </w:r>
      <w:r w:rsidR="00512AD7">
        <w:t xml:space="preserve"> das licitações que são da cidade de Taió, quantas são Alto Vale do Itajaí e quantas empresas são de fora, </w:t>
      </w:r>
      <w:r w:rsidR="00186AA7">
        <w:t xml:space="preserve">quantas dessas empresas se enquadram como ME/EPP </w:t>
      </w:r>
      <w:r w:rsidR="00512AD7">
        <w:t xml:space="preserve">e ainda, indicar as mudanças no processo licitatório de acordo com a Lei </w:t>
      </w:r>
      <w:r w:rsidR="00BF710A">
        <w:t xml:space="preserve">nº </w:t>
      </w:r>
      <w:r w:rsidR="00512AD7">
        <w:t>14.133/2021 da Nova Lei de Licitações.</w:t>
      </w:r>
    </w:p>
    <w:p w14:paraId="7033BFB7" w14:textId="08614463" w:rsidR="00E973C1" w:rsidRDefault="00512AD7" w:rsidP="00213B0F">
      <w:pPr>
        <w:pStyle w:val="UnidaviTexto-Espao15"/>
      </w:pPr>
      <w:r>
        <w:t>Já os procedimentos aplicados, utilizou-se de levantamento documental, com análise qualitativa, uma vez que foram analisadas todas as licitações homologadas no site da prefeitura do município de</w:t>
      </w:r>
      <w:r w:rsidR="00186AA7">
        <w:t xml:space="preserve"> Taió, no período de 2017</w:t>
      </w:r>
      <w:r>
        <w:t xml:space="preserve"> a 2020.</w:t>
      </w:r>
      <w:r w:rsidR="0021509B">
        <w:t xml:space="preserve"> Conforme </w:t>
      </w:r>
      <w:r w:rsidR="006808B4">
        <w:t>Creswell</w:t>
      </w:r>
      <w:r w:rsidR="00451698">
        <w:t xml:space="preserve"> (2010, p. 2</w:t>
      </w:r>
      <w:r w:rsidR="0076725E">
        <w:t>16) “</w:t>
      </w:r>
      <w:r w:rsidR="006808B4">
        <w:t>A investigação qualitativa emprega diferentes concepções filosóficas, estratégias de investigação, e métodos de coleta, análise e interpretação dos dados.”.</w:t>
      </w:r>
    </w:p>
    <w:p w14:paraId="6F1BC664" w14:textId="4F884A0C" w:rsidR="00186AA7" w:rsidRDefault="00F4438A" w:rsidP="00213B0F">
      <w:pPr>
        <w:pStyle w:val="UnidaviTexto-Espao15"/>
      </w:pPr>
      <w:r>
        <w:lastRenderedPageBreak/>
        <w:t xml:space="preserve">A pesquisa foi executada da seguinte forma: no dia 26 de março de 2021, realizou-se uma reunião virtual, com uma representante do Observatório Social de Rio do Sul, pelo fato </w:t>
      </w:r>
      <w:r w:rsidR="006E478C">
        <w:t xml:space="preserve">de ter conhecimento que essa instituição desenvolve uma pesquisa semelhante. </w:t>
      </w:r>
      <w:r w:rsidR="00186AA7">
        <w:t xml:space="preserve">Nessa reunião foram abordadas as formas de levantamento desses dados e a posterior divulgação dos mesmos. Optou-se por seguir as dicas do Observatório Social de Rio do Sul para levantar os dados da presente pesquisa, os quais foram feitos através de planilhas em excel sendo desenvolvida uma para cada ano estudado. Destaca-se </w:t>
      </w:r>
      <w:r w:rsidR="007D2A4C">
        <w:t>que as planilhas</w:t>
      </w:r>
      <w:r w:rsidR="00186AA7">
        <w:t xml:space="preserve"> não </w:t>
      </w:r>
      <w:r w:rsidR="007D2A4C">
        <w:t>p</w:t>
      </w:r>
      <w:r w:rsidR="003C3CF9">
        <w:t>u</w:t>
      </w:r>
      <w:r w:rsidR="007D2A4C">
        <w:t>deram</w:t>
      </w:r>
      <w:r w:rsidR="00186AA7">
        <w:t xml:space="preserve"> ser incluídas nos anexos deste trabalho</w:t>
      </w:r>
      <w:r w:rsidR="00065477">
        <w:t xml:space="preserve">, pelo fato de serem muito extensas e dificultarem uma demonstração entendível aos leitores, </w:t>
      </w:r>
      <w:r w:rsidR="007D2A4C">
        <w:t>pois são quatro planilhas, uma para cada ano estudado, onde a menor delas é composta por 27 colunas, 113 linhas e gerada em PDF forma 68 páginas. M</w:t>
      </w:r>
      <w:r w:rsidR="00065477">
        <w:t xml:space="preserve">as </w:t>
      </w:r>
      <w:r w:rsidR="007D2A4C">
        <w:t>as mesmas</w:t>
      </w:r>
      <w:r w:rsidR="00065477">
        <w:t xml:space="preserve"> poderão ser solicitadas as autoras se houver interesse em visualizar a forma como foram levantados os dados da pesquisa. </w:t>
      </w:r>
    </w:p>
    <w:p w14:paraId="28305EDF" w14:textId="5AA81D9B" w:rsidR="00F174EE" w:rsidRDefault="006E478C" w:rsidP="00213B0F">
      <w:pPr>
        <w:pStyle w:val="UnidaviTexto-Espao15"/>
      </w:pPr>
      <w:r>
        <w:t>Com base nessa</w:t>
      </w:r>
      <w:r w:rsidR="00793296">
        <w:t xml:space="preserve"> reunião decidiu-se aplicar um levantamento semelhante </w:t>
      </w:r>
      <w:r>
        <w:t>no município de Taió e definiu</w:t>
      </w:r>
      <w:r w:rsidR="006544D9">
        <w:t xml:space="preserve">-se o tema do presente trabalho (escolheu-se o período a ser estudado, quais informações levantar, algumas técnicas escolhidas e a apresentação final). </w:t>
      </w:r>
      <w:r w:rsidR="00451698">
        <w:t xml:space="preserve">Foram estudadas todas as licitações </w:t>
      </w:r>
      <w:r w:rsidR="00186AA7">
        <w:t xml:space="preserve">homologadas </w:t>
      </w:r>
      <w:r w:rsidR="003C3CF9">
        <w:t>no período de 2017</w:t>
      </w:r>
      <w:r w:rsidR="00451698">
        <w:t xml:space="preserve"> a 2020, e classificadas, por modalidades, tipo de bem ou serviço contratado e valores gastos anualmente. </w:t>
      </w:r>
    </w:p>
    <w:p w14:paraId="3B63422C" w14:textId="48F9E1E6" w:rsidR="00F174EE" w:rsidRDefault="00F174EE" w:rsidP="00213B0F">
      <w:pPr>
        <w:spacing w:line="360" w:lineRule="auto"/>
      </w:pPr>
    </w:p>
    <w:p w14:paraId="2BEBCF0D" w14:textId="77777777" w:rsidR="000666EA" w:rsidRDefault="000666EA">
      <w:pPr>
        <w:spacing w:after="160" w:line="259" w:lineRule="auto"/>
        <w:rPr>
          <w:b/>
          <w:caps/>
        </w:rPr>
      </w:pPr>
      <w:r>
        <w:br w:type="page"/>
      </w:r>
    </w:p>
    <w:p w14:paraId="69EE77E2" w14:textId="55403BA1" w:rsidR="00F174EE" w:rsidRDefault="00F174EE" w:rsidP="00434F20">
      <w:pPr>
        <w:pStyle w:val="UNIDAVISEOPRIMRIA"/>
        <w:spacing w:line="360" w:lineRule="auto"/>
        <w:rPr>
          <w:lang w:val="pt-BR"/>
        </w:rPr>
      </w:pPr>
      <w:r w:rsidRPr="00830E21">
        <w:rPr>
          <w:lang w:val="pt-BR"/>
        </w:rPr>
        <w:lastRenderedPageBreak/>
        <w:t xml:space="preserve">4. </w:t>
      </w:r>
      <w:r w:rsidR="00345FC6">
        <w:rPr>
          <w:lang w:val="pt-BR"/>
        </w:rPr>
        <w:t>licitações no município de taió</w:t>
      </w:r>
    </w:p>
    <w:p w14:paraId="1C3C6F8D" w14:textId="1098826D" w:rsidR="00345FC6" w:rsidRDefault="00345FC6" w:rsidP="00434F20">
      <w:pPr>
        <w:pStyle w:val="UNIDAVISEOPRIMRIA"/>
        <w:spacing w:line="360" w:lineRule="auto"/>
        <w:rPr>
          <w:lang w:val="pt-BR"/>
        </w:rPr>
      </w:pPr>
    </w:p>
    <w:p w14:paraId="45D05355" w14:textId="07CDA84C" w:rsidR="00345FC6" w:rsidRDefault="0038682B" w:rsidP="00345FC6">
      <w:pPr>
        <w:pStyle w:val="UnidaviTexto-Espao15"/>
      </w:pPr>
      <w:r>
        <w:t xml:space="preserve">Nesta seção, são apresentados os resultados obtidos através da pesquisa, </w:t>
      </w:r>
      <w:r w:rsidR="008815DF">
        <w:t>tendo como apoio para análise a supramencionada revisão de literatura, a fim de cumprir com o objetivo proposto para este trabalho.</w:t>
      </w:r>
    </w:p>
    <w:p w14:paraId="4F50AC3D" w14:textId="76E95BDD" w:rsidR="00C82436" w:rsidRDefault="008815DF" w:rsidP="005128C4">
      <w:pPr>
        <w:pStyle w:val="UnidaviTexto-Espao15"/>
      </w:pPr>
      <w:r>
        <w:t>Primeiramente, com base nos dados extraídos do Portal da Transparência do Município de Taió, as licitações estudadas são classificadas apenas como as homologadas</w:t>
      </w:r>
      <w:r w:rsidR="00F91F86">
        <w:t>, seguindo par</w:t>
      </w:r>
      <w:r w:rsidR="00055FA1">
        <w:t xml:space="preserve">a uma segunda classificação, </w:t>
      </w:r>
      <w:r w:rsidR="00991799">
        <w:t xml:space="preserve">que </w:t>
      </w:r>
      <w:r w:rsidR="00055FA1">
        <w:t>corresponde à</w:t>
      </w:r>
      <w:r w:rsidR="00F91F86">
        <w:t xml:space="preserve">s licitações com empresas </w:t>
      </w:r>
      <w:r w:rsidR="00055FA1">
        <w:t xml:space="preserve">participantes e vencedoras, </w:t>
      </w:r>
      <w:r w:rsidR="00F91F86">
        <w:t>que são do município de Taió, do Alto Vale do Itajaí e empresas que são de fora do alto vale.</w:t>
      </w:r>
      <w:r w:rsidR="005128C4">
        <w:t xml:space="preserve"> Segundo a AMAVI – Associação dos Municípios do Alto Vale do Itajaí, </w:t>
      </w:r>
      <w:r w:rsidR="002E177E">
        <w:t xml:space="preserve">são 28 o número de </w:t>
      </w:r>
      <w:r w:rsidR="005128C4">
        <w:t xml:space="preserve">municípios que fazem parte do Alto Vale </w:t>
      </w:r>
      <w:r w:rsidR="002E177E">
        <w:t xml:space="preserve">do Itajaí e </w:t>
      </w:r>
      <w:r w:rsidR="005128C4">
        <w:t>estão apresentados no Quadro 12.</w:t>
      </w:r>
    </w:p>
    <w:p w14:paraId="15A3DC09" w14:textId="77777777" w:rsidR="005128C4" w:rsidRDefault="005128C4" w:rsidP="005128C4">
      <w:pPr>
        <w:pStyle w:val="UnidaviTexto-Espao15"/>
      </w:pPr>
    </w:p>
    <w:p w14:paraId="2614D266" w14:textId="11EB6E8D" w:rsidR="00055FA1" w:rsidRPr="00CF42CE" w:rsidRDefault="00C82436" w:rsidP="009C78E1">
      <w:pPr>
        <w:pStyle w:val="UnidaviTexto-Espao15"/>
        <w:spacing w:line="240" w:lineRule="auto"/>
        <w:ind w:left="284" w:firstLine="0"/>
        <w:rPr>
          <w:b/>
          <w:sz w:val="20"/>
        </w:rPr>
      </w:pPr>
      <w:r w:rsidRPr="00CF42CE">
        <w:rPr>
          <w:b/>
          <w:sz w:val="20"/>
        </w:rPr>
        <w:t>Quadro 12 – Municípios que compõe o Alto Vale do Itajaí</w:t>
      </w:r>
    </w:p>
    <w:tbl>
      <w:tblPr>
        <w:tblStyle w:val="Tabelacomgrade"/>
        <w:tblW w:w="8221" w:type="dxa"/>
        <w:tblInd w:w="279" w:type="dxa"/>
        <w:tblLook w:val="04A0" w:firstRow="1" w:lastRow="0" w:firstColumn="1" w:lastColumn="0" w:noHBand="0" w:noVBand="1"/>
      </w:tblPr>
      <w:tblGrid>
        <w:gridCol w:w="4394"/>
        <w:gridCol w:w="3827"/>
      </w:tblGrid>
      <w:tr w:rsidR="00055FA1" w:rsidRPr="00C82436" w14:paraId="568AF8DC" w14:textId="77777777" w:rsidTr="009C78E1">
        <w:trPr>
          <w:trHeight w:val="1963"/>
        </w:trPr>
        <w:tc>
          <w:tcPr>
            <w:tcW w:w="4394" w:type="dxa"/>
          </w:tcPr>
          <w:p w14:paraId="3AB9AAA4" w14:textId="77777777" w:rsidR="00055FA1" w:rsidRPr="005128C4" w:rsidRDefault="00771A1D" w:rsidP="00C82436">
            <w:pPr>
              <w:pStyle w:val="UnidaviTexto-Espao15"/>
              <w:spacing w:line="240" w:lineRule="auto"/>
              <w:ind w:right="1599" w:firstLine="0"/>
              <w:contextualSpacing/>
              <w:jc w:val="left"/>
              <w:rPr>
                <w:sz w:val="20"/>
              </w:rPr>
            </w:pPr>
            <w:r w:rsidRPr="005128C4">
              <w:rPr>
                <w:sz w:val="20"/>
              </w:rPr>
              <w:t>Agrolândia</w:t>
            </w:r>
          </w:p>
          <w:p w14:paraId="42037EC8" w14:textId="7558EF09" w:rsidR="00771A1D" w:rsidRPr="005128C4" w:rsidRDefault="00771A1D" w:rsidP="00C82436">
            <w:pPr>
              <w:pStyle w:val="UnidaviTexto-Espao15"/>
              <w:spacing w:line="240" w:lineRule="auto"/>
              <w:ind w:right="1599" w:firstLine="0"/>
              <w:contextualSpacing/>
              <w:jc w:val="left"/>
              <w:rPr>
                <w:sz w:val="20"/>
              </w:rPr>
            </w:pPr>
            <w:r w:rsidRPr="005128C4">
              <w:rPr>
                <w:sz w:val="20"/>
              </w:rPr>
              <w:t>Agronômica</w:t>
            </w:r>
          </w:p>
          <w:p w14:paraId="30AAA24F" w14:textId="35B002EB" w:rsidR="00771A1D" w:rsidRPr="005128C4" w:rsidRDefault="00771A1D" w:rsidP="00C82436">
            <w:pPr>
              <w:pStyle w:val="UnidaviTexto-Espao15"/>
              <w:spacing w:line="240" w:lineRule="auto"/>
              <w:ind w:right="1599" w:firstLine="0"/>
              <w:contextualSpacing/>
              <w:jc w:val="left"/>
              <w:rPr>
                <w:sz w:val="20"/>
              </w:rPr>
            </w:pPr>
            <w:r w:rsidRPr="005128C4">
              <w:rPr>
                <w:sz w:val="20"/>
              </w:rPr>
              <w:t>Atalanta</w:t>
            </w:r>
          </w:p>
          <w:p w14:paraId="3C6CBF86" w14:textId="7260D0DF" w:rsidR="00771A1D" w:rsidRPr="005128C4" w:rsidRDefault="00771A1D" w:rsidP="00C82436">
            <w:pPr>
              <w:pStyle w:val="UnidaviTexto-Espao15"/>
              <w:spacing w:line="240" w:lineRule="auto"/>
              <w:ind w:right="1599" w:firstLine="0"/>
              <w:contextualSpacing/>
              <w:jc w:val="left"/>
              <w:rPr>
                <w:sz w:val="20"/>
              </w:rPr>
            </w:pPr>
            <w:r w:rsidRPr="005128C4">
              <w:rPr>
                <w:sz w:val="20"/>
              </w:rPr>
              <w:t>Aurora</w:t>
            </w:r>
          </w:p>
          <w:p w14:paraId="073A00B0" w14:textId="26BBBC5F" w:rsidR="00771A1D" w:rsidRPr="005128C4" w:rsidRDefault="00771A1D" w:rsidP="00C82436">
            <w:pPr>
              <w:pStyle w:val="UnidaviTexto-Espao15"/>
              <w:spacing w:line="240" w:lineRule="auto"/>
              <w:ind w:right="1599" w:firstLine="0"/>
              <w:contextualSpacing/>
              <w:jc w:val="left"/>
              <w:rPr>
                <w:sz w:val="20"/>
              </w:rPr>
            </w:pPr>
            <w:r w:rsidRPr="005128C4">
              <w:rPr>
                <w:sz w:val="20"/>
              </w:rPr>
              <w:t>Braço do Trombudo</w:t>
            </w:r>
          </w:p>
          <w:p w14:paraId="0B3646C8" w14:textId="62B70560" w:rsidR="00771A1D" w:rsidRPr="005128C4" w:rsidRDefault="00771A1D" w:rsidP="00C82436">
            <w:pPr>
              <w:pStyle w:val="UnidaviTexto-Espao15"/>
              <w:spacing w:line="240" w:lineRule="auto"/>
              <w:ind w:right="1599" w:firstLine="0"/>
              <w:contextualSpacing/>
              <w:jc w:val="left"/>
              <w:rPr>
                <w:sz w:val="20"/>
              </w:rPr>
            </w:pPr>
            <w:r w:rsidRPr="005128C4">
              <w:rPr>
                <w:sz w:val="20"/>
              </w:rPr>
              <w:t>Chapadão do Lageado</w:t>
            </w:r>
          </w:p>
          <w:p w14:paraId="22561BE1" w14:textId="5FB09546" w:rsidR="00771A1D" w:rsidRPr="005128C4" w:rsidRDefault="00771A1D" w:rsidP="00C82436">
            <w:pPr>
              <w:pStyle w:val="UnidaviTexto-Espao15"/>
              <w:spacing w:line="240" w:lineRule="auto"/>
              <w:ind w:right="1599" w:firstLine="0"/>
              <w:contextualSpacing/>
              <w:jc w:val="left"/>
              <w:rPr>
                <w:sz w:val="20"/>
              </w:rPr>
            </w:pPr>
            <w:r w:rsidRPr="005128C4">
              <w:rPr>
                <w:sz w:val="20"/>
              </w:rPr>
              <w:t>Dona Emma</w:t>
            </w:r>
          </w:p>
          <w:p w14:paraId="5022F813" w14:textId="07312632" w:rsidR="00771A1D" w:rsidRPr="005128C4" w:rsidRDefault="00771A1D" w:rsidP="00C82436">
            <w:pPr>
              <w:pStyle w:val="UnidaviTexto-Espao15"/>
              <w:spacing w:line="240" w:lineRule="auto"/>
              <w:ind w:right="1599" w:firstLine="0"/>
              <w:contextualSpacing/>
              <w:jc w:val="left"/>
              <w:rPr>
                <w:sz w:val="20"/>
              </w:rPr>
            </w:pPr>
            <w:r w:rsidRPr="005128C4">
              <w:rPr>
                <w:sz w:val="20"/>
              </w:rPr>
              <w:t>Ibirama</w:t>
            </w:r>
          </w:p>
          <w:p w14:paraId="03930856" w14:textId="33D58D58" w:rsidR="00771A1D" w:rsidRPr="005128C4" w:rsidRDefault="00771A1D" w:rsidP="00C82436">
            <w:pPr>
              <w:pStyle w:val="UnidaviTexto-Espao15"/>
              <w:spacing w:line="240" w:lineRule="auto"/>
              <w:ind w:right="1599" w:firstLine="0"/>
              <w:contextualSpacing/>
              <w:jc w:val="left"/>
              <w:rPr>
                <w:sz w:val="20"/>
              </w:rPr>
            </w:pPr>
            <w:r w:rsidRPr="005128C4">
              <w:rPr>
                <w:sz w:val="20"/>
              </w:rPr>
              <w:t>Imbuia</w:t>
            </w:r>
          </w:p>
          <w:p w14:paraId="229C437C" w14:textId="7AA58409" w:rsidR="00771A1D" w:rsidRPr="005128C4" w:rsidRDefault="00771A1D" w:rsidP="00C82436">
            <w:pPr>
              <w:pStyle w:val="UnidaviTexto-Espao15"/>
              <w:spacing w:line="240" w:lineRule="auto"/>
              <w:ind w:right="1599" w:firstLine="0"/>
              <w:contextualSpacing/>
              <w:jc w:val="left"/>
              <w:rPr>
                <w:sz w:val="20"/>
              </w:rPr>
            </w:pPr>
            <w:r w:rsidRPr="005128C4">
              <w:rPr>
                <w:sz w:val="20"/>
              </w:rPr>
              <w:t>Ituporanga</w:t>
            </w:r>
          </w:p>
          <w:p w14:paraId="3AC753FE" w14:textId="0652BA74" w:rsidR="00771A1D" w:rsidRPr="005128C4" w:rsidRDefault="00771A1D" w:rsidP="00C82436">
            <w:pPr>
              <w:pStyle w:val="UnidaviTexto-Espao15"/>
              <w:spacing w:line="240" w:lineRule="auto"/>
              <w:ind w:right="1599" w:firstLine="0"/>
              <w:contextualSpacing/>
              <w:jc w:val="left"/>
              <w:rPr>
                <w:sz w:val="20"/>
              </w:rPr>
            </w:pPr>
            <w:r w:rsidRPr="005128C4">
              <w:rPr>
                <w:sz w:val="20"/>
              </w:rPr>
              <w:t>José Boiteux</w:t>
            </w:r>
          </w:p>
          <w:p w14:paraId="2EC79A0E" w14:textId="744E3773" w:rsidR="00771A1D" w:rsidRPr="005128C4" w:rsidRDefault="00C82436" w:rsidP="00C82436">
            <w:pPr>
              <w:pStyle w:val="UnidaviTexto-Espao15"/>
              <w:spacing w:line="240" w:lineRule="auto"/>
              <w:ind w:right="1599" w:firstLine="0"/>
              <w:contextualSpacing/>
              <w:jc w:val="left"/>
              <w:rPr>
                <w:sz w:val="20"/>
              </w:rPr>
            </w:pPr>
            <w:r w:rsidRPr="005128C4">
              <w:rPr>
                <w:sz w:val="20"/>
              </w:rPr>
              <w:t>Laurentino</w:t>
            </w:r>
          </w:p>
          <w:p w14:paraId="77B2376D" w14:textId="4B3688A9" w:rsidR="00C82436" w:rsidRPr="005128C4" w:rsidRDefault="00C82436" w:rsidP="00C82436">
            <w:pPr>
              <w:pStyle w:val="UnidaviTexto-Espao15"/>
              <w:spacing w:line="240" w:lineRule="auto"/>
              <w:ind w:right="1599" w:firstLine="0"/>
              <w:contextualSpacing/>
              <w:jc w:val="left"/>
              <w:rPr>
                <w:sz w:val="20"/>
              </w:rPr>
            </w:pPr>
            <w:r w:rsidRPr="005128C4">
              <w:rPr>
                <w:sz w:val="20"/>
              </w:rPr>
              <w:t>Lontras</w:t>
            </w:r>
          </w:p>
          <w:p w14:paraId="4F068A1D" w14:textId="38C2ADF7" w:rsidR="00771A1D" w:rsidRPr="005128C4" w:rsidRDefault="00C82436" w:rsidP="00C82436">
            <w:pPr>
              <w:pStyle w:val="UnidaviTexto-Espao15"/>
              <w:spacing w:line="240" w:lineRule="auto"/>
              <w:ind w:right="1599" w:firstLine="0"/>
              <w:contextualSpacing/>
              <w:jc w:val="left"/>
              <w:rPr>
                <w:sz w:val="20"/>
              </w:rPr>
            </w:pPr>
            <w:r w:rsidRPr="005128C4">
              <w:rPr>
                <w:sz w:val="20"/>
              </w:rPr>
              <w:t>Mirim Doce</w:t>
            </w:r>
          </w:p>
        </w:tc>
        <w:tc>
          <w:tcPr>
            <w:tcW w:w="3827" w:type="dxa"/>
          </w:tcPr>
          <w:p w14:paraId="683B6C3E" w14:textId="77777777" w:rsidR="00055FA1" w:rsidRPr="005128C4" w:rsidRDefault="00C82436" w:rsidP="00C82436">
            <w:pPr>
              <w:pStyle w:val="UnidaviTexto-Espao15"/>
              <w:spacing w:line="240" w:lineRule="auto"/>
              <w:ind w:firstLine="0"/>
              <w:contextualSpacing/>
              <w:jc w:val="left"/>
              <w:rPr>
                <w:sz w:val="20"/>
              </w:rPr>
            </w:pPr>
            <w:r w:rsidRPr="005128C4">
              <w:rPr>
                <w:sz w:val="20"/>
              </w:rPr>
              <w:t>Petrolândia</w:t>
            </w:r>
          </w:p>
          <w:p w14:paraId="7D338684" w14:textId="77777777" w:rsidR="00C82436" w:rsidRPr="005128C4" w:rsidRDefault="00C82436" w:rsidP="00C82436">
            <w:pPr>
              <w:pStyle w:val="UnidaviTexto-Espao15"/>
              <w:spacing w:line="240" w:lineRule="auto"/>
              <w:ind w:firstLine="0"/>
              <w:contextualSpacing/>
              <w:jc w:val="left"/>
              <w:rPr>
                <w:sz w:val="20"/>
              </w:rPr>
            </w:pPr>
            <w:r w:rsidRPr="005128C4">
              <w:rPr>
                <w:sz w:val="20"/>
              </w:rPr>
              <w:t>Pouso Redondo</w:t>
            </w:r>
          </w:p>
          <w:p w14:paraId="2C7F8244" w14:textId="77777777" w:rsidR="00C82436" w:rsidRPr="005128C4" w:rsidRDefault="00C82436" w:rsidP="00C82436">
            <w:pPr>
              <w:pStyle w:val="UnidaviTexto-Espao15"/>
              <w:spacing w:line="240" w:lineRule="auto"/>
              <w:ind w:firstLine="0"/>
              <w:contextualSpacing/>
              <w:jc w:val="left"/>
              <w:rPr>
                <w:sz w:val="20"/>
              </w:rPr>
            </w:pPr>
            <w:r w:rsidRPr="005128C4">
              <w:rPr>
                <w:sz w:val="20"/>
              </w:rPr>
              <w:t>Presidente Getúlio</w:t>
            </w:r>
          </w:p>
          <w:p w14:paraId="0B43A31A" w14:textId="77777777" w:rsidR="00C82436" w:rsidRPr="005128C4" w:rsidRDefault="00C82436" w:rsidP="00C82436">
            <w:pPr>
              <w:pStyle w:val="UnidaviTexto-Espao15"/>
              <w:spacing w:line="240" w:lineRule="auto"/>
              <w:ind w:firstLine="0"/>
              <w:contextualSpacing/>
              <w:jc w:val="left"/>
              <w:rPr>
                <w:sz w:val="20"/>
              </w:rPr>
            </w:pPr>
            <w:r w:rsidRPr="005128C4">
              <w:rPr>
                <w:sz w:val="20"/>
              </w:rPr>
              <w:t>Presidente Nereu</w:t>
            </w:r>
          </w:p>
          <w:p w14:paraId="434DA4EB" w14:textId="77777777" w:rsidR="00C82436" w:rsidRPr="005128C4" w:rsidRDefault="00C82436" w:rsidP="00C82436">
            <w:pPr>
              <w:pStyle w:val="UnidaviTexto-Espao15"/>
              <w:spacing w:line="240" w:lineRule="auto"/>
              <w:ind w:firstLine="0"/>
              <w:contextualSpacing/>
              <w:jc w:val="left"/>
              <w:rPr>
                <w:sz w:val="20"/>
              </w:rPr>
            </w:pPr>
            <w:r w:rsidRPr="005128C4">
              <w:rPr>
                <w:sz w:val="20"/>
              </w:rPr>
              <w:t>Rio do Campo</w:t>
            </w:r>
          </w:p>
          <w:p w14:paraId="3984B880" w14:textId="77777777" w:rsidR="00C82436" w:rsidRPr="005128C4" w:rsidRDefault="00C82436" w:rsidP="00C82436">
            <w:pPr>
              <w:pStyle w:val="UnidaviTexto-Espao15"/>
              <w:spacing w:line="240" w:lineRule="auto"/>
              <w:ind w:firstLine="0"/>
              <w:contextualSpacing/>
              <w:jc w:val="left"/>
              <w:rPr>
                <w:sz w:val="20"/>
              </w:rPr>
            </w:pPr>
            <w:r w:rsidRPr="005128C4">
              <w:rPr>
                <w:sz w:val="20"/>
              </w:rPr>
              <w:t>Rio do Oeste</w:t>
            </w:r>
          </w:p>
          <w:p w14:paraId="686105C5" w14:textId="77777777" w:rsidR="00C82436" w:rsidRPr="005128C4" w:rsidRDefault="00C82436" w:rsidP="00C82436">
            <w:pPr>
              <w:pStyle w:val="UnidaviTexto-Espao15"/>
              <w:spacing w:line="240" w:lineRule="auto"/>
              <w:ind w:firstLine="0"/>
              <w:contextualSpacing/>
              <w:jc w:val="left"/>
              <w:rPr>
                <w:sz w:val="20"/>
              </w:rPr>
            </w:pPr>
            <w:r w:rsidRPr="005128C4">
              <w:rPr>
                <w:sz w:val="20"/>
              </w:rPr>
              <w:t>Rio do Sul</w:t>
            </w:r>
          </w:p>
          <w:p w14:paraId="48D9A439" w14:textId="77777777" w:rsidR="00C82436" w:rsidRPr="005128C4" w:rsidRDefault="00C82436" w:rsidP="00C82436">
            <w:pPr>
              <w:pStyle w:val="UnidaviTexto-Espao15"/>
              <w:spacing w:line="240" w:lineRule="auto"/>
              <w:ind w:firstLine="0"/>
              <w:contextualSpacing/>
              <w:jc w:val="left"/>
              <w:rPr>
                <w:sz w:val="20"/>
              </w:rPr>
            </w:pPr>
            <w:r w:rsidRPr="005128C4">
              <w:rPr>
                <w:sz w:val="20"/>
              </w:rPr>
              <w:t>Salete</w:t>
            </w:r>
          </w:p>
          <w:p w14:paraId="42C035B8" w14:textId="77777777" w:rsidR="00C82436" w:rsidRPr="005128C4" w:rsidRDefault="00C82436" w:rsidP="00C82436">
            <w:pPr>
              <w:pStyle w:val="UnidaviTexto-Espao15"/>
              <w:spacing w:line="240" w:lineRule="auto"/>
              <w:ind w:firstLine="0"/>
              <w:contextualSpacing/>
              <w:jc w:val="left"/>
              <w:rPr>
                <w:sz w:val="20"/>
              </w:rPr>
            </w:pPr>
            <w:r w:rsidRPr="005128C4">
              <w:rPr>
                <w:sz w:val="20"/>
              </w:rPr>
              <w:t>Santa Terezinha</w:t>
            </w:r>
          </w:p>
          <w:p w14:paraId="46957FBA" w14:textId="77777777" w:rsidR="00C82436" w:rsidRPr="005128C4" w:rsidRDefault="00C82436" w:rsidP="00C82436">
            <w:pPr>
              <w:pStyle w:val="UnidaviTexto-Espao15"/>
              <w:spacing w:line="240" w:lineRule="auto"/>
              <w:ind w:firstLine="0"/>
              <w:contextualSpacing/>
              <w:jc w:val="left"/>
              <w:rPr>
                <w:sz w:val="20"/>
              </w:rPr>
            </w:pPr>
            <w:r w:rsidRPr="005128C4">
              <w:rPr>
                <w:sz w:val="20"/>
              </w:rPr>
              <w:t>Taió</w:t>
            </w:r>
          </w:p>
          <w:p w14:paraId="0FB2094A" w14:textId="77777777" w:rsidR="00C82436" w:rsidRPr="005128C4" w:rsidRDefault="00C82436" w:rsidP="00C82436">
            <w:pPr>
              <w:pStyle w:val="UnidaviTexto-Espao15"/>
              <w:spacing w:line="240" w:lineRule="auto"/>
              <w:ind w:firstLine="0"/>
              <w:contextualSpacing/>
              <w:jc w:val="left"/>
              <w:rPr>
                <w:sz w:val="20"/>
              </w:rPr>
            </w:pPr>
            <w:r w:rsidRPr="005128C4">
              <w:rPr>
                <w:sz w:val="20"/>
              </w:rPr>
              <w:t>Trombudo Central</w:t>
            </w:r>
          </w:p>
          <w:p w14:paraId="2A9C84E7" w14:textId="77777777" w:rsidR="00C82436" w:rsidRPr="005128C4" w:rsidRDefault="00C82436" w:rsidP="00C82436">
            <w:pPr>
              <w:pStyle w:val="UnidaviTexto-Espao15"/>
              <w:spacing w:line="240" w:lineRule="auto"/>
              <w:ind w:firstLine="0"/>
              <w:contextualSpacing/>
              <w:jc w:val="left"/>
              <w:rPr>
                <w:sz w:val="20"/>
              </w:rPr>
            </w:pPr>
            <w:r w:rsidRPr="005128C4">
              <w:rPr>
                <w:sz w:val="20"/>
              </w:rPr>
              <w:t>Vidal Ramos</w:t>
            </w:r>
          </w:p>
          <w:p w14:paraId="7D49CCE0" w14:textId="77777777" w:rsidR="00C82436" w:rsidRPr="005128C4" w:rsidRDefault="00C82436" w:rsidP="00C82436">
            <w:pPr>
              <w:pStyle w:val="UnidaviTexto-Espao15"/>
              <w:spacing w:line="240" w:lineRule="auto"/>
              <w:ind w:firstLine="0"/>
              <w:contextualSpacing/>
              <w:jc w:val="left"/>
              <w:rPr>
                <w:sz w:val="20"/>
              </w:rPr>
            </w:pPr>
            <w:r w:rsidRPr="005128C4">
              <w:rPr>
                <w:sz w:val="20"/>
              </w:rPr>
              <w:t>Vitor Meireles</w:t>
            </w:r>
          </w:p>
          <w:p w14:paraId="48ED66BB" w14:textId="1974D00B" w:rsidR="00C82436" w:rsidRPr="005128C4" w:rsidRDefault="00C82436" w:rsidP="00C82436">
            <w:pPr>
              <w:pStyle w:val="UnidaviTexto-Espao15"/>
              <w:spacing w:line="240" w:lineRule="auto"/>
              <w:ind w:firstLine="0"/>
              <w:contextualSpacing/>
              <w:jc w:val="left"/>
              <w:rPr>
                <w:sz w:val="20"/>
              </w:rPr>
            </w:pPr>
            <w:r w:rsidRPr="005128C4">
              <w:rPr>
                <w:sz w:val="20"/>
              </w:rPr>
              <w:t>Witmarsum</w:t>
            </w:r>
          </w:p>
        </w:tc>
      </w:tr>
    </w:tbl>
    <w:p w14:paraId="04F4EFE7" w14:textId="0AD6D442" w:rsidR="00C82436" w:rsidRDefault="009C78E1" w:rsidP="009C78E1">
      <w:pPr>
        <w:pStyle w:val="UnidaviTexto-Espao15"/>
        <w:ind w:left="284" w:firstLine="0"/>
      </w:pPr>
      <w:r>
        <w:rPr>
          <w:sz w:val="20"/>
        </w:rPr>
        <w:t>Fonte: Elaborado a partir de Associação dos municípios do Alto Vale do Itajaí - AMAVI</w:t>
      </w:r>
    </w:p>
    <w:p w14:paraId="366462E8" w14:textId="77777777" w:rsidR="00C55881" w:rsidRDefault="00C55881" w:rsidP="00C55881">
      <w:pPr>
        <w:pStyle w:val="UnidaviTexto-Espao15"/>
        <w:ind w:left="426" w:firstLine="0"/>
      </w:pPr>
    </w:p>
    <w:p w14:paraId="6DD92EAE" w14:textId="63BFCF9A" w:rsidR="00343D22" w:rsidRDefault="008815DF" w:rsidP="002E177E">
      <w:pPr>
        <w:pStyle w:val="UnidaviTexto-Espao15"/>
        <w:ind w:firstLine="426"/>
      </w:pPr>
      <w:r>
        <w:t xml:space="preserve">A partir desta classificação foram estudados os anos de 2017, 2018, 2019 e 2020, com o objetivo </w:t>
      </w:r>
      <w:r w:rsidR="002E177E">
        <w:t xml:space="preserve">levantar os números relacionados aos objetivos da pesquisa </w:t>
      </w:r>
      <w:r>
        <w:t>e analisar o processo licitatório do município de Taió</w:t>
      </w:r>
      <w:r w:rsidR="007371CB">
        <w:t>.</w:t>
      </w:r>
    </w:p>
    <w:p w14:paraId="32F06BD1" w14:textId="77777777" w:rsidR="00343D22" w:rsidRDefault="00343D22" w:rsidP="00B80A5B">
      <w:pPr>
        <w:pStyle w:val="UnidaviTexto-Espao15"/>
        <w:ind w:firstLine="0"/>
      </w:pPr>
    </w:p>
    <w:p w14:paraId="64B76F31" w14:textId="369554B2" w:rsidR="00343D22" w:rsidRDefault="00343D22" w:rsidP="00343D22">
      <w:pPr>
        <w:pStyle w:val="UNIDAVISEOSECUNDARIA"/>
      </w:pPr>
      <w:r>
        <w:t xml:space="preserve">4.1 licitações no município de taió – ano </w:t>
      </w:r>
      <w:r w:rsidR="000E26E3">
        <w:t>2017</w:t>
      </w:r>
    </w:p>
    <w:p w14:paraId="0DECEF3B" w14:textId="51B52FA0" w:rsidR="00E1351B" w:rsidRDefault="00E1351B" w:rsidP="00AF6FFA">
      <w:pPr>
        <w:pStyle w:val="UnidaviTexto-Espao15"/>
        <w:ind w:firstLine="0"/>
      </w:pPr>
    </w:p>
    <w:p w14:paraId="332E0292" w14:textId="782072EA" w:rsidR="00FA2C19" w:rsidRPr="00B24E79" w:rsidRDefault="002E177E" w:rsidP="00B24E79">
      <w:pPr>
        <w:pStyle w:val="UnidaviTexto-Espao15"/>
      </w:pPr>
      <w:r w:rsidRPr="00B24E79">
        <w:t>No ano de 2017, o município de Taió teve um total de 113 licitações</w:t>
      </w:r>
      <w:r w:rsidR="00FA2C19" w:rsidRPr="00B24E79">
        <w:t xml:space="preserve"> homologadas</w:t>
      </w:r>
      <w:r w:rsidRPr="00B24E79">
        <w:t>, das quais 112 foram p</w:t>
      </w:r>
      <w:r w:rsidR="00FA2C19" w:rsidRPr="00B24E79">
        <w:t>a</w:t>
      </w:r>
      <w:r w:rsidRPr="00B24E79">
        <w:t xml:space="preserve">ra a prefeitura e </w:t>
      </w:r>
      <w:r w:rsidR="00FA2C19" w:rsidRPr="00B24E79">
        <w:t>1 foi para a câmara de vereadores. Em relação aos valores, o valor de referência total informado no edital foi de R$ 13.725.143,92 para o ano de 2017, já o valor total que foi homologado, ou seja, pago pelo município f</w:t>
      </w:r>
      <w:r w:rsidR="00C37E6A">
        <w:t>oi o valor de R$ 11</w:t>
      </w:r>
      <w:r w:rsidR="00944E08">
        <w:t>.702.228,08 conforme demonstrado</w:t>
      </w:r>
      <w:r w:rsidR="00C37E6A">
        <w:t>s na Tabela 1.</w:t>
      </w:r>
    </w:p>
    <w:p w14:paraId="40DAF182" w14:textId="77777777" w:rsidR="0018742D" w:rsidRPr="0018742D" w:rsidRDefault="0018742D" w:rsidP="0018742D">
      <w:pPr>
        <w:pStyle w:val="UNIDAVISEOPRIMRIA"/>
        <w:spacing w:line="360" w:lineRule="auto"/>
        <w:rPr>
          <w:sz w:val="20"/>
          <w:szCs w:val="20"/>
          <w:lang w:val="pt-BR"/>
        </w:rPr>
      </w:pPr>
    </w:p>
    <w:p w14:paraId="2A6FD99A" w14:textId="6EFBDBBB" w:rsidR="0018742D" w:rsidRPr="00CF42CE" w:rsidRDefault="00C37E6A" w:rsidP="00EF0D90">
      <w:pPr>
        <w:ind w:left="284"/>
        <w:rPr>
          <w:b/>
          <w:sz w:val="20"/>
          <w:szCs w:val="20"/>
        </w:rPr>
      </w:pPr>
      <w:r>
        <w:rPr>
          <w:b/>
          <w:sz w:val="20"/>
          <w:szCs w:val="20"/>
        </w:rPr>
        <w:t xml:space="preserve">Tabela </w:t>
      </w:r>
      <w:r w:rsidR="0018742D" w:rsidRPr="00CF42CE">
        <w:rPr>
          <w:b/>
          <w:sz w:val="20"/>
          <w:szCs w:val="20"/>
        </w:rPr>
        <w:t>1 – Valor das licitaç</w:t>
      </w:r>
      <w:r w:rsidR="000E26E3" w:rsidRPr="00CF42CE">
        <w:rPr>
          <w:b/>
          <w:sz w:val="20"/>
          <w:szCs w:val="20"/>
        </w:rPr>
        <w:t>ões no ano 2017</w:t>
      </w:r>
    </w:p>
    <w:tbl>
      <w:tblPr>
        <w:tblW w:w="8221" w:type="dxa"/>
        <w:tblInd w:w="284" w:type="dxa"/>
        <w:tblCellMar>
          <w:left w:w="0" w:type="dxa"/>
          <w:right w:w="0" w:type="dxa"/>
        </w:tblCellMar>
        <w:tblLook w:val="04A0" w:firstRow="1" w:lastRow="0" w:firstColumn="1" w:lastColumn="0" w:noHBand="0" w:noVBand="1"/>
      </w:tblPr>
      <w:tblGrid>
        <w:gridCol w:w="1837"/>
        <w:gridCol w:w="1170"/>
        <w:gridCol w:w="1110"/>
        <w:gridCol w:w="1983"/>
        <w:gridCol w:w="1328"/>
        <w:gridCol w:w="793"/>
      </w:tblGrid>
      <w:tr w:rsidR="0018742D" w:rsidRPr="0018742D" w14:paraId="7B75A37D" w14:textId="77777777" w:rsidTr="00EF0D90">
        <w:trPr>
          <w:trHeight w:val="285"/>
        </w:trPr>
        <w:tc>
          <w:tcPr>
            <w:tcW w:w="1837"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1FFBA677" w14:textId="77777777" w:rsidR="0018742D" w:rsidRPr="0018742D" w:rsidRDefault="0018742D" w:rsidP="00130FD6">
            <w:pPr>
              <w:rPr>
                <w:rFonts w:eastAsia="Times New Roman"/>
                <w:b/>
                <w:bCs/>
                <w:color w:val="000000"/>
                <w:sz w:val="20"/>
                <w:szCs w:val="20"/>
                <w:lang w:eastAsia="pt-BR"/>
              </w:rPr>
            </w:pPr>
            <w:r w:rsidRPr="0018742D">
              <w:rPr>
                <w:b/>
                <w:bCs/>
                <w:color w:val="000000"/>
                <w:sz w:val="20"/>
                <w:szCs w:val="20"/>
              </w:rPr>
              <w:t>Homologadas</w:t>
            </w:r>
          </w:p>
        </w:tc>
        <w:tc>
          <w:tcPr>
            <w:tcW w:w="1170"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142DDB94" w14:textId="77777777" w:rsidR="0018742D" w:rsidRPr="0018742D" w:rsidRDefault="0018742D" w:rsidP="00C42D0B">
            <w:pPr>
              <w:jc w:val="center"/>
              <w:rPr>
                <w:b/>
                <w:bCs/>
                <w:color w:val="000000"/>
                <w:sz w:val="20"/>
                <w:szCs w:val="20"/>
              </w:rPr>
            </w:pPr>
            <w:r w:rsidRPr="0018742D">
              <w:rPr>
                <w:b/>
                <w:bCs/>
                <w:color w:val="000000"/>
                <w:sz w:val="20"/>
                <w:szCs w:val="20"/>
              </w:rPr>
              <w:t>Total</w:t>
            </w:r>
          </w:p>
        </w:tc>
        <w:tc>
          <w:tcPr>
            <w:tcW w:w="1110"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3E4D8705" w14:textId="77777777" w:rsidR="0018742D" w:rsidRPr="0018742D" w:rsidRDefault="0018742D" w:rsidP="00C42D0B">
            <w:pPr>
              <w:jc w:val="center"/>
              <w:rPr>
                <w:b/>
                <w:bCs/>
                <w:color w:val="000000"/>
                <w:sz w:val="20"/>
                <w:szCs w:val="20"/>
              </w:rPr>
            </w:pPr>
            <w:r w:rsidRPr="0018742D">
              <w:rPr>
                <w:b/>
                <w:bCs/>
                <w:color w:val="000000"/>
                <w:sz w:val="20"/>
                <w:szCs w:val="20"/>
              </w:rPr>
              <w:t>%</w:t>
            </w:r>
          </w:p>
        </w:tc>
        <w:tc>
          <w:tcPr>
            <w:tcW w:w="1983"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F41A4E1" w14:textId="77777777" w:rsidR="0018742D" w:rsidRPr="0018742D" w:rsidRDefault="0018742D" w:rsidP="00C42D0B">
            <w:pPr>
              <w:jc w:val="center"/>
              <w:rPr>
                <w:b/>
                <w:bCs/>
                <w:color w:val="000000"/>
                <w:sz w:val="20"/>
                <w:szCs w:val="20"/>
              </w:rPr>
            </w:pPr>
            <w:r w:rsidRPr="0018742D">
              <w:rPr>
                <w:b/>
                <w:bCs/>
                <w:color w:val="000000"/>
                <w:sz w:val="20"/>
                <w:szCs w:val="20"/>
              </w:rPr>
              <w:t>Classe</w:t>
            </w:r>
          </w:p>
        </w:tc>
        <w:tc>
          <w:tcPr>
            <w:tcW w:w="1328"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545F3250" w14:textId="77777777" w:rsidR="0018742D" w:rsidRPr="0018742D" w:rsidRDefault="0018742D" w:rsidP="00C42D0B">
            <w:pPr>
              <w:jc w:val="center"/>
              <w:rPr>
                <w:b/>
                <w:bCs/>
                <w:color w:val="000000"/>
                <w:sz w:val="20"/>
                <w:szCs w:val="20"/>
              </w:rPr>
            </w:pPr>
            <w:r w:rsidRPr="0018742D">
              <w:rPr>
                <w:b/>
                <w:bCs/>
                <w:color w:val="000000"/>
                <w:sz w:val="20"/>
                <w:szCs w:val="20"/>
              </w:rPr>
              <w:t>Valores:</w:t>
            </w:r>
          </w:p>
        </w:tc>
        <w:tc>
          <w:tcPr>
            <w:tcW w:w="793"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631A1A73" w14:textId="77777777" w:rsidR="0018742D" w:rsidRPr="0018742D" w:rsidRDefault="0018742D" w:rsidP="00C42D0B">
            <w:pPr>
              <w:jc w:val="center"/>
              <w:rPr>
                <w:b/>
                <w:bCs/>
                <w:color w:val="000000"/>
                <w:sz w:val="20"/>
                <w:szCs w:val="20"/>
              </w:rPr>
            </w:pPr>
            <w:r w:rsidRPr="0018742D">
              <w:rPr>
                <w:b/>
                <w:bCs/>
                <w:color w:val="000000"/>
                <w:sz w:val="20"/>
                <w:szCs w:val="20"/>
              </w:rPr>
              <w:t>%</w:t>
            </w:r>
          </w:p>
        </w:tc>
      </w:tr>
      <w:tr w:rsidR="0018742D" w:rsidRPr="0018742D" w14:paraId="06A2B3F2" w14:textId="77777777" w:rsidTr="00EF0D90">
        <w:trPr>
          <w:trHeight w:val="285"/>
        </w:trPr>
        <w:tc>
          <w:tcPr>
            <w:tcW w:w="183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B0DD9F5" w14:textId="3D526D50" w:rsidR="0018742D" w:rsidRPr="0018742D" w:rsidRDefault="000E26E3" w:rsidP="00130FD6">
            <w:pPr>
              <w:rPr>
                <w:color w:val="000000"/>
                <w:sz w:val="20"/>
                <w:szCs w:val="20"/>
              </w:rPr>
            </w:pPr>
            <w:r>
              <w:rPr>
                <w:color w:val="000000"/>
                <w:sz w:val="20"/>
                <w:szCs w:val="20"/>
              </w:rPr>
              <w:t>Ano 2017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D6F8D69" w14:textId="77777777" w:rsidR="0018742D" w:rsidRPr="0018742D" w:rsidRDefault="0018742D" w:rsidP="00C42D0B">
            <w:pPr>
              <w:jc w:val="center"/>
              <w:rPr>
                <w:color w:val="000000"/>
                <w:sz w:val="20"/>
                <w:szCs w:val="20"/>
              </w:rPr>
            </w:pPr>
            <w:r w:rsidRPr="0018742D">
              <w:rPr>
                <w:color w:val="000000"/>
                <w:sz w:val="20"/>
                <w:szCs w:val="20"/>
              </w:rPr>
              <w:t>113</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0B909CEF" w14:textId="77777777" w:rsidR="0018742D" w:rsidRPr="0018742D" w:rsidRDefault="0018742D" w:rsidP="00C42D0B">
            <w:pPr>
              <w:jc w:val="center"/>
              <w:rPr>
                <w:color w:val="000000"/>
                <w:sz w:val="20"/>
                <w:szCs w:val="20"/>
              </w:rPr>
            </w:pPr>
            <w:r w:rsidRPr="0018742D">
              <w:rPr>
                <w:color w:val="000000"/>
                <w:sz w:val="20"/>
                <w:szCs w:val="20"/>
              </w:rPr>
              <w:t>100%</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45E1419C" w14:textId="77777777" w:rsidR="0018742D" w:rsidRPr="0018742D" w:rsidRDefault="0018742D" w:rsidP="00C42D0B">
            <w:pPr>
              <w:jc w:val="center"/>
              <w:rPr>
                <w:color w:val="000000"/>
                <w:sz w:val="20"/>
                <w:szCs w:val="20"/>
              </w:rPr>
            </w:pPr>
            <w:r w:rsidRPr="0018742D">
              <w:rPr>
                <w:color w:val="000000"/>
                <w:sz w:val="20"/>
                <w:szCs w:val="20"/>
              </w:rPr>
              <w:t>Referência</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6D9ECDC5" w14:textId="77777777" w:rsidR="0018742D" w:rsidRPr="0018742D" w:rsidRDefault="0018742D" w:rsidP="00C42D0B">
            <w:pPr>
              <w:jc w:val="center"/>
              <w:rPr>
                <w:color w:val="000000"/>
                <w:sz w:val="20"/>
                <w:szCs w:val="20"/>
              </w:rPr>
            </w:pPr>
            <w:r w:rsidRPr="0018742D">
              <w:rPr>
                <w:color w:val="000000"/>
                <w:sz w:val="20"/>
                <w:szCs w:val="20"/>
              </w:rPr>
              <w:t>13.725.143,92</w:t>
            </w:r>
          </w:p>
        </w:tc>
        <w:tc>
          <w:tcPr>
            <w:tcW w:w="793"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0048DF14" w14:textId="77777777" w:rsidR="0018742D" w:rsidRPr="0018742D" w:rsidRDefault="0018742D" w:rsidP="00C42D0B">
            <w:pPr>
              <w:jc w:val="center"/>
              <w:rPr>
                <w:color w:val="000000"/>
                <w:sz w:val="20"/>
                <w:szCs w:val="20"/>
              </w:rPr>
            </w:pPr>
            <w:r w:rsidRPr="0018742D">
              <w:rPr>
                <w:color w:val="000000"/>
                <w:sz w:val="20"/>
                <w:szCs w:val="20"/>
              </w:rPr>
              <w:t>100%</w:t>
            </w:r>
          </w:p>
        </w:tc>
      </w:tr>
      <w:tr w:rsidR="0018742D" w:rsidRPr="0018742D" w14:paraId="34BEAAD1" w14:textId="77777777" w:rsidTr="00EF0D90">
        <w:trPr>
          <w:trHeight w:val="285"/>
        </w:trPr>
        <w:tc>
          <w:tcPr>
            <w:tcW w:w="1837"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2ADE0ECD" w14:textId="77777777" w:rsidR="0018742D" w:rsidRPr="0018742D" w:rsidRDefault="0018742D" w:rsidP="00130FD6">
            <w:pPr>
              <w:rPr>
                <w:color w:val="000000"/>
                <w:sz w:val="20"/>
                <w:szCs w:val="20"/>
              </w:rPr>
            </w:pPr>
            <w:r w:rsidRPr="0018742D">
              <w:rPr>
                <w:color w:val="000000"/>
                <w:sz w:val="20"/>
                <w:szCs w:val="20"/>
              </w:rPr>
              <w:t>Prefeitura</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23EAA60D" w14:textId="77777777" w:rsidR="0018742D" w:rsidRPr="0018742D" w:rsidRDefault="0018742D" w:rsidP="00C42D0B">
            <w:pPr>
              <w:jc w:val="center"/>
              <w:rPr>
                <w:color w:val="000000"/>
                <w:sz w:val="20"/>
                <w:szCs w:val="20"/>
              </w:rPr>
            </w:pPr>
            <w:r w:rsidRPr="0018742D">
              <w:rPr>
                <w:color w:val="000000"/>
                <w:sz w:val="20"/>
                <w:szCs w:val="20"/>
              </w:rPr>
              <w:t>112</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7BF110A1" w14:textId="77777777" w:rsidR="0018742D" w:rsidRPr="0018742D" w:rsidRDefault="0018742D" w:rsidP="00C42D0B">
            <w:pPr>
              <w:jc w:val="center"/>
              <w:rPr>
                <w:color w:val="000000"/>
                <w:sz w:val="20"/>
                <w:szCs w:val="20"/>
              </w:rPr>
            </w:pPr>
            <w:r w:rsidRPr="0018742D">
              <w:rPr>
                <w:color w:val="000000"/>
                <w:sz w:val="20"/>
                <w:szCs w:val="20"/>
              </w:rPr>
              <w:t>99%</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6A17F91E" w14:textId="77777777" w:rsidR="0018742D" w:rsidRPr="0018742D" w:rsidRDefault="0018742D" w:rsidP="00C42D0B">
            <w:pPr>
              <w:jc w:val="center"/>
              <w:rPr>
                <w:color w:val="000000"/>
                <w:sz w:val="20"/>
                <w:szCs w:val="20"/>
              </w:rPr>
            </w:pPr>
            <w:r w:rsidRPr="0018742D">
              <w:rPr>
                <w:color w:val="000000"/>
                <w:sz w:val="20"/>
                <w:szCs w:val="20"/>
              </w:rPr>
              <w:t>Homologados</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34BCE976" w14:textId="77777777" w:rsidR="0018742D" w:rsidRPr="0018742D" w:rsidRDefault="0018742D" w:rsidP="00C42D0B">
            <w:pPr>
              <w:jc w:val="center"/>
              <w:rPr>
                <w:color w:val="000000"/>
                <w:sz w:val="20"/>
                <w:szCs w:val="20"/>
              </w:rPr>
            </w:pPr>
            <w:r w:rsidRPr="0018742D">
              <w:rPr>
                <w:color w:val="000000"/>
                <w:sz w:val="20"/>
                <w:szCs w:val="20"/>
              </w:rPr>
              <w:t>11.702.228,08</w:t>
            </w:r>
          </w:p>
        </w:tc>
        <w:tc>
          <w:tcPr>
            <w:tcW w:w="793"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4E552D7B" w14:textId="77777777" w:rsidR="0018742D" w:rsidRPr="0018742D" w:rsidRDefault="0018742D" w:rsidP="00C42D0B">
            <w:pPr>
              <w:jc w:val="center"/>
              <w:rPr>
                <w:color w:val="000000"/>
                <w:sz w:val="20"/>
                <w:szCs w:val="20"/>
              </w:rPr>
            </w:pPr>
            <w:r w:rsidRPr="0018742D">
              <w:rPr>
                <w:color w:val="000000"/>
                <w:sz w:val="20"/>
                <w:szCs w:val="20"/>
              </w:rPr>
              <w:t>85%</w:t>
            </w:r>
          </w:p>
        </w:tc>
      </w:tr>
      <w:tr w:rsidR="0018742D" w:rsidRPr="0018742D" w14:paraId="160389DE" w14:textId="77777777" w:rsidTr="00EF0D90">
        <w:trPr>
          <w:trHeight w:val="285"/>
        </w:trPr>
        <w:tc>
          <w:tcPr>
            <w:tcW w:w="1837"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11ABD351" w14:textId="77777777" w:rsidR="0018742D" w:rsidRPr="0018742D" w:rsidRDefault="0018742D" w:rsidP="00130FD6">
            <w:pPr>
              <w:rPr>
                <w:color w:val="000000"/>
                <w:sz w:val="20"/>
                <w:szCs w:val="20"/>
              </w:rPr>
            </w:pPr>
            <w:r w:rsidRPr="0018742D">
              <w:rPr>
                <w:color w:val="000000"/>
                <w:sz w:val="20"/>
                <w:szCs w:val="20"/>
              </w:rPr>
              <w:t>Câmara de Vereadores</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07D69788" w14:textId="77777777" w:rsidR="0018742D" w:rsidRPr="0018742D" w:rsidRDefault="0018742D" w:rsidP="00C42D0B">
            <w:pPr>
              <w:jc w:val="center"/>
              <w:rPr>
                <w:color w:val="000000"/>
                <w:sz w:val="20"/>
                <w:szCs w:val="20"/>
              </w:rPr>
            </w:pPr>
            <w:r w:rsidRPr="0018742D">
              <w:rPr>
                <w:color w:val="000000"/>
                <w:sz w:val="20"/>
                <w:szCs w:val="20"/>
              </w:rPr>
              <w:t>1</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4E7FEC5C" w14:textId="77777777" w:rsidR="0018742D" w:rsidRPr="0018742D" w:rsidRDefault="0018742D" w:rsidP="00C42D0B">
            <w:pPr>
              <w:jc w:val="center"/>
              <w:rPr>
                <w:color w:val="000000"/>
                <w:sz w:val="20"/>
                <w:szCs w:val="20"/>
              </w:rPr>
            </w:pPr>
            <w:r w:rsidRPr="0018742D">
              <w:rPr>
                <w:color w:val="000000"/>
                <w:sz w:val="20"/>
                <w:szCs w:val="20"/>
              </w:rPr>
              <w:t>1%</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1C9B68DB" w14:textId="77777777" w:rsidR="0018742D" w:rsidRPr="0018742D" w:rsidRDefault="0018742D" w:rsidP="00C42D0B">
            <w:pPr>
              <w:jc w:val="center"/>
              <w:rPr>
                <w:color w:val="000000"/>
                <w:sz w:val="20"/>
                <w:szCs w:val="20"/>
              </w:rPr>
            </w:pPr>
            <w:r w:rsidRPr="0018742D">
              <w:rPr>
                <w:color w:val="000000"/>
                <w:sz w:val="20"/>
                <w:szCs w:val="20"/>
              </w:rPr>
              <w:t>Diferença/economia</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11124E76" w14:textId="77777777" w:rsidR="0018742D" w:rsidRPr="0018742D" w:rsidRDefault="0018742D" w:rsidP="00C42D0B">
            <w:pPr>
              <w:jc w:val="center"/>
              <w:rPr>
                <w:color w:val="000000"/>
                <w:sz w:val="20"/>
                <w:szCs w:val="20"/>
              </w:rPr>
            </w:pPr>
            <w:r w:rsidRPr="0018742D">
              <w:rPr>
                <w:color w:val="000000"/>
                <w:sz w:val="20"/>
                <w:szCs w:val="20"/>
              </w:rPr>
              <w:t>2.082.918,84</w:t>
            </w:r>
          </w:p>
        </w:tc>
        <w:tc>
          <w:tcPr>
            <w:tcW w:w="793"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0658C17D" w14:textId="77777777" w:rsidR="0018742D" w:rsidRPr="0018742D" w:rsidRDefault="0018742D" w:rsidP="00C42D0B">
            <w:pPr>
              <w:jc w:val="center"/>
              <w:rPr>
                <w:color w:val="000000"/>
                <w:sz w:val="20"/>
                <w:szCs w:val="20"/>
              </w:rPr>
            </w:pPr>
            <w:r w:rsidRPr="0018742D">
              <w:rPr>
                <w:color w:val="000000"/>
                <w:sz w:val="20"/>
                <w:szCs w:val="20"/>
              </w:rPr>
              <w:t>15%</w:t>
            </w:r>
          </w:p>
        </w:tc>
      </w:tr>
    </w:tbl>
    <w:p w14:paraId="059ED982" w14:textId="45F2BC4D" w:rsidR="00E550C2" w:rsidRDefault="0018742D" w:rsidP="00EF0D90">
      <w:pPr>
        <w:spacing w:after="160" w:line="259" w:lineRule="auto"/>
        <w:ind w:left="284"/>
        <w:rPr>
          <w:sz w:val="20"/>
          <w:szCs w:val="20"/>
        </w:rPr>
      </w:pPr>
      <w:r>
        <w:rPr>
          <w:sz w:val="20"/>
          <w:szCs w:val="20"/>
        </w:rPr>
        <w:t>Font</w:t>
      </w:r>
      <w:r w:rsidR="00CF42CE">
        <w:rPr>
          <w:sz w:val="20"/>
          <w:szCs w:val="20"/>
        </w:rPr>
        <w:t>e: Dados da pesquisa (2021)</w:t>
      </w:r>
    </w:p>
    <w:p w14:paraId="32CF7A37" w14:textId="77777777" w:rsidR="001E0F72" w:rsidRPr="0018742D" w:rsidRDefault="001E0F72" w:rsidP="00C37E6A">
      <w:pPr>
        <w:spacing w:after="160"/>
        <w:rPr>
          <w:b/>
          <w:caps/>
        </w:rPr>
      </w:pPr>
    </w:p>
    <w:p w14:paraId="522C5392" w14:textId="1D37557F" w:rsidR="00503F0E" w:rsidRDefault="00CF42CE" w:rsidP="00725279">
      <w:pPr>
        <w:pStyle w:val="UnidaviTexto-Espao15"/>
      </w:pPr>
      <w:r>
        <w:t xml:space="preserve">Pode-se observar conforme a Tabela </w:t>
      </w:r>
      <w:r w:rsidR="001E0F72">
        <w:t xml:space="preserve">1, uma economia de R$ </w:t>
      </w:r>
      <w:r w:rsidR="00D054BB">
        <w:t>2.082.918,</w:t>
      </w:r>
      <w:r w:rsidR="00991799">
        <w:t>84 no ano de 2017 a</w:t>
      </w:r>
      <w:r w:rsidR="001E0F72">
        <w:t>o longo do ano</w:t>
      </w:r>
      <w:r w:rsidR="00991799">
        <w:t>,</w:t>
      </w:r>
      <w:r w:rsidR="001E0F72">
        <w:t xml:space="preserve"> </w:t>
      </w:r>
      <w:r w:rsidR="007F2776">
        <w:t>pelo fato de existir o</w:t>
      </w:r>
      <w:r w:rsidR="001E0F72">
        <w:t xml:space="preserve"> processo licitatório, </w:t>
      </w:r>
      <w:r w:rsidR="007F2776">
        <w:t>que permite a disputa entre</w:t>
      </w:r>
      <w:r w:rsidR="00991799">
        <w:t xml:space="preserve"> os participantes e</w:t>
      </w:r>
      <w:r w:rsidR="007F2776">
        <w:t xml:space="preserve"> como consequência gera uma economia para a entidade requisitante, aqui representada pelo município de Taió. </w:t>
      </w:r>
    </w:p>
    <w:p w14:paraId="6ED7B5DC" w14:textId="77777777" w:rsidR="00CF42CE" w:rsidRDefault="00CF42CE" w:rsidP="00B80A5B">
      <w:pPr>
        <w:pStyle w:val="UnidaviTexto-Espao15"/>
        <w:ind w:firstLine="0"/>
      </w:pPr>
    </w:p>
    <w:p w14:paraId="4A107668" w14:textId="073A9275" w:rsidR="00725279" w:rsidRPr="00CF42CE" w:rsidRDefault="00CF42CE" w:rsidP="006362E8">
      <w:pPr>
        <w:pStyle w:val="UnidaviTexto-Espao15"/>
        <w:spacing w:line="240" w:lineRule="auto"/>
        <w:ind w:left="426" w:firstLine="0"/>
        <w:contextualSpacing/>
        <w:rPr>
          <w:b/>
          <w:sz w:val="20"/>
        </w:rPr>
      </w:pPr>
      <w:r w:rsidRPr="00AF6FFA">
        <w:rPr>
          <w:b/>
          <w:sz w:val="20"/>
        </w:rPr>
        <w:t>Gráfico 1 – Valor total/economia no ano 2017</w:t>
      </w:r>
    </w:p>
    <w:p w14:paraId="7F2A354C" w14:textId="5DF572AA" w:rsidR="001E0F72" w:rsidRPr="00AF6FFA" w:rsidRDefault="001E0F72" w:rsidP="006362E8">
      <w:pPr>
        <w:pStyle w:val="UnidaviTexto-Espao15"/>
        <w:spacing w:line="240" w:lineRule="auto"/>
        <w:ind w:left="284" w:right="284" w:firstLine="0"/>
      </w:pPr>
      <w:r w:rsidRPr="00AF6FFA">
        <w:rPr>
          <w:noProof/>
        </w:rPr>
        <w:drawing>
          <wp:inline distT="0" distB="0" distL="0" distR="0" wp14:anchorId="2C3CCA30" wp14:editId="6F80FDCE">
            <wp:extent cx="5248275" cy="2695575"/>
            <wp:effectExtent l="38100" t="0" r="9525"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1BFFD9B" w14:textId="73170DD1" w:rsidR="0018742D" w:rsidRDefault="007F2776" w:rsidP="00CC7B42">
      <w:pPr>
        <w:pStyle w:val="UnidaviTexto-Espao15"/>
        <w:spacing w:line="240" w:lineRule="auto"/>
        <w:ind w:left="425" w:firstLine="0"/>
        <w:contextualSpacing/>
        <w:rPr>
          <w:sz w:val="20"/>
        </w:rPr>
      </w:pPr>
      <w:r w:rsidRPr="00AF6FFA">
        <w:rPr>
          <w:sz w:val="20"/>
        </w:rPr>
        <w:t xml:space="preserve">Fonte: </w:t>
      </w:r>
      <w:r w:rsidR="00A848CA">
        <w:rPr>
          <w:sz w:val="20"/>
        </w:rPr>
        <w:t>Dados da pesquisa (2021)</w:t>
      </w:r>
    </w:p>
    <w:p w14:paraId="472E193C" w14:textId="77777777" w:rsidR="00CC7B42" w:rsidRPr="00CC7B42" w:rsidRDefault="00CC7B42" w:rsidP="00944E08">
      <w:pPr>
        <w:pStyle w:val="UnidaviTexto-Espao15"/>
        <w:ind w:left="425" w:firstLine="0"/>
        <w:contextualSpacing/>
        <w:rPr>
          <w:sz w:val="20"/>
        </w:rPr>
      </w:pPr>
    </w:p>
    <w:p w14:paraId="13CAE912" w14:textId="66F69FD9" w:rsidR="00CC7B42" w:rsidRDefault="00C37E6A" w:rsidP="00CC7B42">
      <w:pPr>
        <w:pStyle w:val="UnidaviTexto-Espao15"/>
      </w:pPr>
      <w:r>
        <w:t>O</w:t>
      </w:r>
      <w:r w:rsidR="00A848CA">
        <w:t xml:space="preserve"> Quadro 1 </w:t>
      </w:r>
      <w:r>
        <w:t>ilustra</w:t>
      </w:r>
      <w:r w:rsidR="00A848CA">
        <w:t xml:space="preserve"> que c</w:t>
      </w:r>
      <w:r w:rsidR="007F2776">
        <w:t>erca de</w:t>
      </w:r>
      <w:r>
        <w:t xml:space="preserve"> 15 % do valor de referência foram</w:t>
      </w:r>
      <w:r w:rsidR="007F2776">
        <w:t xml:space="preserve"> economizado</w:t>
      </w:r>
      <w:r>
        <w:t>s</w:t>
      </w:r>
      <w:r w:rsidR="007F2776">
        <w:t xml:space="preserve"> no ano de 2017</w:t>
      </w:r>
      <w:r w:rsidR="00D054BB">
        <w:t xml:space="preserve"> </w:t>
      </w:r>
      <w:r w:rsidR="007F2776">
        <w:t>e puderam ser realocados pela gestão pública do município, conforme as necessidades da população.</w:t>
      </w:r>
    </w:p>
    <w:p w14:paraId="160338EC" w14:textId="6A3146E1" w:rsidR="00CB3A6F" w:rsidRDefault="00CB3A6F" w:rsidP="00CC7B42">
      <w:pPr>
        <w:pStyle w:val="UnidaviTexto-Espao15"/>
      </w:pPr>
    </w:p>
    <w:p w14:paraId="7F79269D" w14:textId="44B81F27" w:rsidR="00CB3A6F" w:rsidRDefault="00CB3A6F" w:rsidP="00CC7B42">
      <w:pPr>
        <w:pStyle w:val="UnidaviTexto-Espao15"/>
      </w:pPr>
    </w:p>
    <w:p w14:paraId="668FFF6C" w14:textId="0E4759C9" w:rsidR="00CB3A6F" w:rsidRDefault="00CB3A6F" w:rsidP="00CC7B42">
      <w:pPr>
        <w:pStyle w:val="UnidaviTexto-Espao15"/>
      </w:pPr>
    </w:p>
    <w:p w14:paraId="624C3B6D" w14:textId="2A2E04B4" w:rsidR="00CB3A6F" w:rsidRDefault="00CB3A6F" w:rsidP="00CC7B42">
      <w:pPr>
        <w:pStyle w:val="UnidaviTexto-Espao15"/>
      </w:pPr>
    </w:p>
    <w:p w14:paraId="42773552" w14:textId="552C1A5B" w:rsidR="00CB3A6F" w:rsidRDefault="00CB3A6F" w:rsidP="00CC7B42">
      <w:pPr>
        <w:pStyle w:val="UnidaviTexto-Espao15"/>
      </w:pPr>
    </w:p>
    <w:p w14:paraId="6262B4C1" w14:textId="0944C272" w:rsidR="00CB3A6F" w:rsidRDefault="00CB3A6F" w:rsidP="00944E08">
      <w:pPr>
        <w:pStyle w:val="UnidaviTexto-Espao15"/>
        <w:ind w:firstLine="0"/>
      </w:pPr>
    </w:p>
    <w:p w14:paraId="2DE44105" w14:textId="77777777" w:rsidR="00944E08" w:rsidRDefault="00944E08" w:rsidP="00944E08">
      <w:pPr>
        <w:pStyle w:val="UnidaviTexto-Espao15"/>
        <w:ind w:firstLine="0"/>
      </w:pPr>
    </w:p>
    <w:p w14:paraId="0008A9C3" w14:textId="368CFC1D" w:rsidR="00CB3A6F" w:rsidRPr="00CB3A6F" w:rsidRDefault="00CB3A6F" w:rsidP="00CB3A6F">
      <w:pPr>
        <w:pStyle w:val="UnidaviTexto-Espao15"/>
        <w:spacing w:line="240" w:lineRule="auto"/>
        <w:ind w:left="284" w:firstLine="0"/>
        <w:contextualSpacing/>
        <w:rPr>
          <w:b/>
          <w:sz w:val="20"/>
        </w:rPr>
      </w:pPr>
      <w:r>
        <w:rPr>
          <w:b/>
          <w:sz w:val="20"/>
        </w:rPr>
        <w:lastRenderedPageBreak/>
        <w:t>Gráfico 2</w:t>
      </w:r>
      <w:r w:rsidRPr="007F2776">
        <w:rPr>
          <w:b/>
          <w:sz w:val="20"/>
        </w:rPr>
        <w:t xml:space="preserve"> – </w:t>
      </w:r>
      <w:r>
        <w:rPr>
          <w:b/>
          <w:sz w:val="20"/>
        </w:rPr>
        <w:t>Áreas de aplicação dos recursos no ano 2017</w:t>
      </w:r>
    </w:p>
    <w:p w14:paraId="751D11EB" w14:textId="0A02B630" w:rsidR="00CC7B42" w:rsidRDefault="00E24136" w:rsidP="00A27534">
      <w:pPr>
        <w:pStyle w:val="UnidaviTexto-Espao15"/>
        <w:tabs>
          <w:tab w:val="left" w:pos="8505"/>
          <w:tab w:val="left" w:pos="8647"/>
        </w:tabs>
        <w:spacing w:line="240" w:lineRule="auto"/>
        <w:ind w:left="284" w:right="142" w:firstLine="0"/>
      </w:pPr>
      <w:r>
        <w:rPr>
          <w:noProof/>
        </w:rPr>
        <w:drawing>
          <wp:inline distT="0" distB="0" distL="0" distR="0" wp14:anchorId="251413ED" wp14:editId="4DBA87EA">
            <wp:extent cx="5210354" cy="2656840"/>
            <wp:effectExtent l="0" t="0" r="9525" b="1016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C66ED98" w14:textId="7A0F77C0" w:rsidR="00CC7B42" w:rsidRPr="001E0F72" w:rsidRDefault="006362E8" w:rsidP="00CC7B42">
      <w:pPr>
        <w:pStyle w:val="UnidaviTexto-Espao15"/>
        <w:spacing w:line="240" w:lineRule="auto"/>
        <w:ind w:left="284" w:firstLine="0"/>
        <w:contextualSpacing/>
        <w:rPr>
          <w:sz w:val="20"/>
        </w:rPr>
      </w:pPr>
      <w:r>
        <w:rPr>
          <w:sz w:val="20"/>
        </w:rPr>
        <w:t>Fonte: Dados da pesquisa (2021)</w:t>
      </w:r>
    </w:p>
    <w:p w14:paraId="5655E109" w14:textId="362D8EC2" w:rsidR="00CC7B42" w:rsidRDefault="00CC7B42" w:rsidP="00725279">
      <w:pPr>
        <w:pStyle w:val="UnidaviTexto-Espao15"/>
      </w:pPr>
    </w:p>
    <w:p w14:paraId="5C4B627F" w14:textId="5891BB9A" w:rsidR="00CB3A6F" w:rsidRPr="00CC7B42" w:rsidRDefault="008646AA" w:rsidP="006362E8">
      <w:pPr>
        <w:pStyle w:val="UnidaviTexto-Espao15"/>
      </w:pPr>
      <w:r>
        <w:t>O Gráfico 2 ilustra a</w:t>
      </w:r>
      <w:r w:rsidR="00CC7B42">
        <w:t xml:space="preserve">s áreas de aplicação dos recursos </w:t>
      </w:r>
      <w:r>
        <w:t xml:space="preserve">que </w:t>
      </w:r>
      <w:r w:rsidR="00CC7B42">
        <w:t>foram especificadas nos editais</w:t>
      </w:r>
      <w:r w:rsidR="008E3E52">
        <w:t xml:space="preserve"> </w:t>
      </w:r>
      <w:r w:rsidR="009654F4">
        <w:t xml:space="preserve">em 2017 </w:t>
      </w:r>
      <w:r w:rsidR="008E3E52">
        <w:t xml:space="preserve">apenas como câmara de vereadores, secretaria da saúde, assistência social e município de Taió. Não foram especificadas para quais secretarias os recursos foram enviados, pelo fato de o organograma do município estar organizado de uma forma em que as compras são feitas pelo município e realocadas conforme as necessidades de cada secretaria. Por esse motivo a pesquisa tornou-se limitada, pelo fato de não poder especificar os valores aplicados em cada espécie de bens e/ou serviços contratados pela administração. </w:t>
      </w:r>
    </w:p>
    <w:p w14:paraId="2B1193FD" w14:textId="783527AB" w:rsidR="00B24E79" w:rsidRDefault="007F2776" w:rsidP="00CC7B42">
      <w:pPr>
        <w:pStyle w:val="UnidaviTexto-Espao15"/>
      </w:pPr>
      <w:r>
        <w:t xml:space="preserve">Ao que se refere às modalidades de licitação, </w:t>
      </w:r>
      <w:r w:rsidR="00CB3A6F">
        <w:t>conforme apresentadas na Tabela 2, em</w:t>
      </w:r>
      <w:r w:rsidR="0051727F">
        <w:t xml:space="preserve"> 2017 foram utilizadas quatro</w:t>
      </w:r>
      <w:r>
        <w:t xml:space="preserve"> modalidades</w:t>
      </w:r>
      <w:r w:rsidR="0051727F">
        <w:t>, mais as realizações feitas através de inexigibilidade e dispensa de licitação.</w:t>
      </w:r>
      <w:r>
        <w:t xml:space="preserve"> </w:t>
      </w:r>
      <w:r w:rsidR="00CC7B42">
        <w:t>Constatou-se que durante o ano, a modalidade mais utilizada foi a modalidade Pregão Presencial, representada por 73 das 112 licitações homologadas.</w:t>
      </w:r>
    </w:p>
    <w:p w14:paraId="2E1617C9" w14:textId="77777777" w:rsidR="00725279" w:rsidRPr="00CB3A6F" w:rsidRDefault="00725279" w:rsidP="00725279">
      <w:pPr>
        <w:pStyle w:val="UnidaviTexto-Espao15"/>
        <w:rPr>
          <w:b/>
        </w:rPr>
      </w:pPr>
    </w:p>
    <w:p w14:paraId="34553688" w14:textId="75D06A7F" w:rsidR="00E550C2" w:rsidRPr="00CB3A6F" w:rsidRDefault="008646AA" w:rsidP="00C51428">
      <w:pPr>
        <w:pStyle w:val="UnidaviTexto-Espao15"/>
        <w:spacing w:line="240" w:lineRule="auto"/>
        <w:ind w:left="284" w:firstLine="0"/>
        <w:rPr>
          <w:rFonts w:cs="Times New Roman"/>
          <w:b/>
          <w:sz w:val="20"/>
          <w:szCs w:val="20"/>
        </w:rPr>
      </w:pPr>
      <w:r>
        <w:rPr>
          <w:rFonts w:cs="Times New Roman"/>
          <w:b/>
          <w:sz w:val="20"/>
          <w:szCs w:val="20"/>
        </w:rPr>
        <w:t xml:space="preserve">Tabela </w:t>
      </w:r>
      <w:r w:rsidR="0018742D" w:rsidRPr="00CB3A6F">
        <w:rPr>
          <w:rFonts w:cs="Times New Roman"/>
          <w:b/>
          <w:sz w:val="20"/>
          <w:szCs w:val="20"/>
        </w:rPr>
        <w:t>2</w:t>
      </w:r>
      <w:r w:rsidR="00E550C2" w:rsidRPr="00CB3A6F">
        <w:rPr>
          <w:rFonts w:cs="Times New Roman"/>
          <w:b/>
          <w:sz w:val="20"/>
          <w:szCs w:val="20"/>
        </w:rPr>
        <w:t xml:space="preserve"> – Descritivo das modalidades de licitaç</w:t>
      </w:r>
      <w:r w:rsidR="000E26E3" w:rsidRPr="00CB3A6F">
        <w:rPr>
          <w:rFonts w:cs="Times New Roman"/>
          <w:b/>
          <w:sz w:val="20"/>
          <w:szCs w:val="20"/>
        </w:rPr>
        <w:t>ão no ano 2017</w:t>
      </w:r>
    </w:p>
    <w:tbl>
      <w:tblPr>
        <w:tblW w:w="8221" w:type="dxa"/>
        <w:tblInd w:w="284" w:type="dxa"/>
        <w:tblCellMar>
          <w:left w:w="70" w:type="dxa"/>
          <w:right w:w="70" w:type="dxa"/>
        </w:tblCellMar>
        <w:tblLook w:val="04A0" w:firstRow="1" w:lastRow="0" w:firstColumn="1" w:lastColumn="0" w:noHBand="0" w:noVBand="1"/>
      </w:tblPr>
      <w:tblGrid>
        <w:gridCol w:w="1881"/>
        <w:gridCol w:w="2756"/>
        <w:gridCol w:w="1102"/>
        <w:gridCol w:w="2482"/>
      </w:tblGrid>
      <w:tr w:rsidR="007E4250" w:rsidRPr="007E4250" w14:paraId="0A665C1F" w14:textId="77777777" w:rsidTr="00C51428">
        <w:trPr>
          <w:trHeight w:val="296"/>
        </w:trPr>
        <w:tc>
          <w:tcPr>
            <w:tcW w:w="1881" w:type="dxa"/>
            <w:tcBorders>
              <w:top w:val="single" w:sz="4" w:space="0" w:color="auto"/>
              <w:left w:val="nil"/>
              <w:bottom w:val="single" w:sz="4" w:space="0" w:color="auto"/>
              <w:right w:val="nil"/>
            </w:tcBorders>
            <w:shd w:val="clear" w:color="000000" w:fill="FFFFFF"/>
            <w:noWrap/>
            <w:vAlign w:val="bottom"/>
            <w:hideMark/>
          </w:tcPr>
          <w:p w14:paraId="0CA690AF" w14:textId="77777777" w:rsidR="007E4250" w:rsidRPr="007E4250" w:rsidRDefault="007E4250" w:rsidP="00EF0D90">
            <w:pPr>
              <w:ind w:left="-69"/>
              <w:rPr>
                <w:rFonts w:eastAsia="Times New Roman"/>
                <w:b/>
                <w:bCs/>
                <w:color w:val="000000"/>
                <w:sz w:val="20"/>
                <w:szCs w:val="20"/>
                <w:lang w:eastAsia="pt-BR"/>
              </w:rPr>
            </w:pPr>
            <w:r w:rsidRPr="007E4250">
              <w:rPr>
                <w:rFonts w:eastAsia="Times New Roman"/>
                <w:b/>
                <w:bCs/>
                <w:color w:val="000000"/>
                <w:sz w:val="20"/>
                <w:szCs w:val="20"/>
                <w:lang w:eastAsia="pt-BR"/>
              </w:rPr>
              <w:t>Modalidades</w:t>
            </w:r>
          </w:p>
        </w:tc>
        <w:tc>
          <w:tcPr>
            <w:tcW w:w="2756" w:type="dxa"/>
            <w:tcBorders>
              <w:top w:val="single" w:sz="4" w:space="0" w:color="auto"/>
              <w:left w:val="nil"/>
              <w:bottom w:val="single" w:sz="4" w:space="0" w:color="auto"/>
              <w:right w:val="nil"/>
            </w:tcBorders>
            <w:shd w:val="clear" w:color="000000" w:fill="FFFFFF"/>
            <w:noWrap/>
            <w:vAlign w:val="bottom"/>
            <w:hideMark/>
          </w:tcPr>
          <w:p w14:paraId="6D0933E8" w14:textId="77777777" w:rsidR="007E4250" w:rsidRPr="007E4250" w:rsidRDefault="007E4250" w:rsidP="007E4250">
            <w:pPr>
              <w:jc w:val="center"/>
              <w:rPr>
                <w:rFonts w:eastAsia="Times New Roman"/>
                <w:b/>
                <w:bCs/>
                <w:color w:val="000000"/>
                <w:sz w:val="20"/>
                <w:szCs w:val="20"/>
                <w:lang w:eastAsia="pt-BR"/>
              </w:rPr>
            </w:pPr>
            <w:r w:rsidRPr="007E4250">
              <w:rPr>
                <w:rFonts w:eastAsia="Times New Roman"/>
                <w:b/>
                <w:bCs/>
                <w:color w:val="000000"/>
                <w:sz w:val="20"/>
                <w:szCs w:val="20"/>
                <w:lang w:eastAsia="pt-BR"/>
              </w:rPr>
              <w:t>Licitações</w:t>
            </w:r>
          </w:p>
        </w:tc>
        <w:tc>
          <w:tcPr>
            <w:tcW w:w="1102" w:type="dxa"/>
            <w:tcBorders>
              <w:top w:val="single" w:sz="4" w:space="0" w:color="auto"/>
              <w:left w:val="nil"/>
              <w:bottom w:val="single" w:sz="4" w:space="0" w:color="auto"/>
              <w:right w:val="nil"/>
            </w:tcBorders>
            <w:shd w:val="clear" w:color="000000" w:fill="FFFFFF"/>
            <w:noWrap/>
            <w:vAlign w:val="bottom"/>
            <w:hideMark/>
          </w:tcPr>
          <w:p w14:paraId="15193D2D" w14:textId="77777777" w:rsidR="007E4250" w:rsidRPr="007E4250" w:rsidRDefault="007E4250" w:rsidP="007E4250">
            <w:pPr>
              <w:jc w:val="center"/>
              <w:rPr>
                <w:rFonts w:eastAsia="Times New Roman"/>
                <w:b/>
                <w:bCs/>
                <w:color w:val="000000"/>
                <w:sz w:val="20"/>
                <w:szCs w:val="20"/>
                <w:lang w:eastAsia="pt-BR"/>
              </w:rPr>
            </w:pPr>
            <w:r w:rsidRPr="007E4250">
              <w:rPr>
                <w:rFonts w:eastAsia="Times New Roman"/>
                <w:b/>
                <w:bCs/>
                <w:color w:val="000000"/>
                <w:sz w:val="20"/>
                <w:szCs w:val="20"/>
                <w:lang w:eastAsia="pt-BR"/>
              </w:rPr>
              <w:t>%</w:t>
            </w:r>
          </w:p>
        </w:tc>
        <w:tc>
          <w:tcPr>
            <w:tcW w:w="2482" w:type="dxa"/>
            <w:tcBorders>
              <w:top w:val="single" w:sz="4" w:space="0" w:color="auto"/>
              <w:left w:val="nil"/>
              <w:bottom w:val="single" w:sz="4" w:space="0" w:color="auto"/>
              <w:right w:val="nil"/>
            </w:tcBorders>
            <w:shd w:val="clear" w:color="000000" w:fill="FFFFFF"/>
            <w:noWrap/>
            <w:vAlign w:val="bottom"/>
            <w:hideMark/>
          </w:tcPr>
          <w:p w14:paraId="044C9E6D" w14:textId="77777777" w:rsidR="007E4250" w:rsidRPr="007E4250" w:rsidRDefault="007E4250" w:rsidP="007E4250">
            <w:pPr>
              <w:jc w:val="center"/>
              <w:rPr>
                <w:rFonts w:eastAsia="Times New Roman"/>
                <w:b/>
                <w:bCs/>
                <w:color w:val="000000"/>
                <w:sz w:val="20"/>
                <w:szCs w:val="20"/>
                <w:lang w:eastAsia="pt-BR"/>
              </w:rPr>
            </w:pPr>
            <w:r w:rsidRPr="007E4250">
              <w:rPr>
                <w:rFonts w:eastAsia="Times New Roman"/>
                <w:b/>
                <w:bCs/>
                <w:color w:val="000000"/>
                <w:sz w:val="20"/>
                <w:szCs w:val="20"/>
                <w:lang w:eastAsia="pt-BR"/>
              </w:rPr>
              <w:t xml:space="preserve"> Valor </w:t>
            </w:r>
          </w:p>
        </w:tc>
      </w:tr>
      <w:tr w:rsidR="007E4250" w:rsidRPr="007E4250" w14:paraId="7C9C9E43" w14:textId="77777777" w:rsidTr="00C51428">
        <w:trPr>
          <w:trHeight w:val="296"/>
        </w:trPr>
        <w:tc>
          <w:tcPr>
            <w:tcW w:w="1881" w:type="dxa"/>
            <w:tcBorders>
              <w:top w:val="nil"/>
              <w:left w:val="nil"/>
              <w:bottom w:val="single" w:sz="4" w:space="0" w:color="auto"/>
              <w:right w:val="nil"/>
            </w:tcBorders>
            <w:shd w:val="clear" w:color="000000" w:fill="FFFFFF"/>
            <w:noWrap/>
            <w:vAlign w:val="bottom"/>
            <w:hideMark/>
          </w:tcPr>
          <w:p w14:paraId="13E8BE4C" w14:textId="77777777" w:rsidR="007E4250" w:rsidRPr="007E4250" w:rsidRDefault="007E4250" w:rsidP="00EF0D90">
            <w:pPr>
              <w:ind w:left="-69"/>
              <w:rPr>
                <w:rFonts w:eastAsia="Times New Roman"/>
                <w:color w:val="000000"/>
                <w:sz w:val="20"/>
                <w:szCs w:val="20"/>
                <w:lang w:eastAsia="pt-BR"/>
              </w:rPr>
            </w:pPr>
            <w:r w:rsidRPr="007E4250">
              <w:rPr>
                <w:rFonts w:eastAsia="Times New Roman"/>
                <w:color w:val="000000"/>
                <w:sz w:val="20"/>
                <w:szCs w:val="20"/>
                <w:lang w:eastAsia="pt-BR"/>
              </w:rPr>
              <w:t>Concorrência</w:t>
            </w:r>
          </w:p>
        </w:tc>
        <w:tc>
          <w:tcPr>
            <w:tcW w:w="2756" w:type="dxa"/>
            <w:tcBorders>
              <w:top w:val="nil"/>
              <w:left w:val="nil"/>
              <w:bottom w:val="nil"/>
              <w:right w:val="nil"/>
            </w:tcBorders>
            <w:shd w:val="clear" w:color="000000" w:fill="FFFFFF"/>
            <w:noWrap/>
            <w:vAlign w:val="bottom"/>
            <w:hideMark/>
          </w:tcPr>
          <w:p w14:paraId="62D92374"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1</w:t>
            </w:r>
          </w:p>
        </w:tc>
        <w:tc>
          <w:tcPr>
            <w:tcW w:w="1102" w:type="dxa"/>
            <w:tcBorders>
              <w:top w:val="nil"/>
              <w:left w:val="nil"/>
              <w:bottom w:val="nil"/>
              <w:right w:val="nil"/>
            </w:tcBorders>
            <w:shd w:val="clear" w:color="000000" w:fill="FFFFFF"/>
            <w:noWrap/>
            <w:vAlign w:val="bottom"/>
            <w:hideMark/>
          </w:tcPr>
          <w:p w14:paraId="3F31FBAC"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1%</w:t>
            </w:r>
          </w:p>
        </w:tc>
        <w:tc>
          <w:tcPr>
            <w:tcW w:w="2482" w:type="dxa"/>
            <w:tcBorders>
              <w:top w:val="nil"/>
              <w:left w:val="nil"/>
              <w:bottom w:val="single" w:sz="4" w:space="0" w:color="auto"/>
              <w:right w:val="nil"/>
            </w:tcBorders>
            <w:shd w:val="clear" w:color="000000" w:fill="FFFFFF"/>
            <w:noWrap/>
            <w:vAlign w:val="bottom"/>
            <w:hideMark/>
          </w:tcPr>
          <w:p w14:paraId="7B90C9DA"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13.200,00</w:t>
            </w:r>
          </w:p>
        </w:tc>
      </w:tr>
      <w:tr w:rsidR="007E4250" w:rsidRPr="007E4250" w14:paraId="308C13A6" w14:textId="77777777" w:rsidTr="00C51428">
        <w:trPr>
          <w:trHeight w:val="296"/>
        </w:trPr>
        <w:tc>
          <w:tcPr>
            <w:tcW w:w="1881" w:type="dxa"/>
            <w:tcBorders>
              <w:top w:val="nil"/>
              <w:left w:val="nil"/>
              <w:bottom w:val="single" w:sz="4" w:space="0" w:color="auto"/>
              <w:right w:val="nil"/>
            </w:tcBorders>
            <w:shd w:val="clear" w:color="000000" w:fill="FFFFFF"/>
            <w:noWrap/>
            <w:vAlign w:val="bottom"/>
            <w:hideMark/>
          </w:tcPr>
          <w:p w14:paraId="1F706A1A" w14:textId="77777777" w:rsidR="007E4250" w:rsidRPr="007E4250" w:rsidRDefault="007E4250" w:rsidP="00EF0D90">
            <w:pPr>
              <w:ind w:left="-69"/>
              <w:rPr>
                <w:rFonts w:eastAsia="Times New Roman"/>
                <w:color w:val="000000"/>
                <w:sz w:val="20"/>
                <w:szCs w:val="20"/>
                <w:lang w:eastAsia="pt-BR"/>
              </w:rPr>
            </w:pPr>
            <w:r w:rsidRPr="007E4250">
              <w:rPr>
                <w:rFonts w:eastAsia="Times New Roman"/>
                <w:color w:val="000000"/>
                <w:sz w:val="20"/>
                <w:szCs w:val="20"/>
                <w:lang w:eastAsia="pt-BR"/>
              </w:rPr>
              <w:t>Convite</w:t>
            </w:r>
          </w:p>
        </w:tc>
        <w:tc>
          <w:tcPr>
            <w:tcW w:w="2756" w:type="dxa"/>
            <w:tcBorders>
              <w:top w:val="single" w:sz="4" w:space="0" w:color="auto"/>
              <w:left w:val="nil"/>
              <w:bottom w:val="single" w:sz="4" w:space="0" w:color="auto"/>
              <w:right w:val="nil"/>
            </w:tcBorders>
            <w:shd w:val="clear" w:color="000000" w:fill="FFFFFF"/>
            <w:noWrap/>
            <w:vAlign w:val="bottom"/>
            <w:hideMark/>
          </w:tcPr>
          <w:p w14:paraId="36A3215E"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18</w:t>
            </w:r>
          </w:p>
        </w:tc>
        <w:tc>
          <w:tcPr>
            <w:tcW w:w="1102" w:type="dxa"/>
            <w:tcBorders>
              <w:top w:val="single" w:sz="4" w:space="0" w:color="auto"/>
              <w:left w:val="nil"/>
              <w:bottom w:val="nil"/>
              <w:right w:val="nil"/>
            </w:tcBorders>
            <w:shd w:val="clear" w:color="000000" w:fill="FFFFFF"/>
            <w:noWrap/>
            <w:vAlign w:val="bottom"/>
            <w:hideMark/>
          </w:tcPr>
          <w:p w14:paraId="2B43D649"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16%</w:t>
            </w:r>
          </w:p>
        </w:tc>
        <w:tc>
          <w:tcPr>
            <w:tcW w:w="2482" w:type="dxa"/>
            <w:tcBorders>
              <w:top w:val="nil"/>
              <w:left w:val="nil"/>
              <w:bottom w:val="single" w:sz="4" w:space="0" w:color="auto"/>
              <w:right w:val="nil"/>
            </w:tcBorders>
            <w:shd w:val="clear" w:color="000000" w:fill="FFFFFF"/>
            <w:noWrap/>
            <w:vAlign w:val="bottom"/>
            <w:hideMark/>
          </w:tcPr>
          <w:p w14:paraId="64807EC4"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719.617,39</w:t>
            </w:r>
          </w:p>
        </w:tc>
      </w:tr>
      <w:tr w:rsidR="007E4250" w:rsidRPr="007E4250" w14:paraId="0897059D" w14:textId="77777777" w:rsidTr="00C51428">
        <w:trPr>
          <w:trHeight w:val="296"/>
        </w:trPr>
        <w:tc>
          <w:tcPr>
            <w:tcW w:w="1881" w:type="dxa"/>
            <w:tcBorders>
              <w:top w:val="nil"/>
              <w:left w:val="nil"/>
              <w:bottom w:val="single" w:sz="4" w:space="0" w:color="auto"/>
              <w:right w:val="nil"/>
            </w:tcBorders>
            <w:shd w:val="clear" w:color="000000" w:fill="FFFFFF"/>
            <w:noWrap/>
            <w:vAlign w:val="bottom"/>
            <w:hideMark/>
          </w:tcPr>
          <w:p w14:paraId="08DA971B" w14:textId="77777777" w:rsidR="007E4250" w:rsidRPr="007E4250" w:rsidRDefault="007E4250" w:rsidP="00EF0D90">
            <w:pPr>
              <w:ind w:left="-69"/>
              <w:rPr>
                <w:rFonts w:eastAsia="Times New Roman"/>
                <w:color w:val="000000"/>
                <w:sz w:val="20"/>
                <w:szCs w:val="20"/>
                <w:lang w:eastAsia="pt-BR"/>
              </w:rPr>
            </w:pPr>
            <w:r w:rsidRPr="007E4250">
              <w:rPr>
                <w:rFonts w:eastAsia="Times New Roman"/>
                <w:color w:val="000000"/>
                <w:sz w:val="20"/>
                <w:szCs w:val="20"/>
                <w:lang w:eastAsia="pt-BR"/>
              </w:rPr>
              <w:t>Dispensa</w:t>
            </w:r>
          </w:p>
        </w:tc>
        <w:tc>
          <w:tcPr>
            <w:tcW w:w="2756" w:type="dxa"/>
            <w:tcBorders>
              <w:top w:val="nil"/>
              <w:left w:val="nil"/>
              <w:bottom w:val="single" w:sz="4" w:space="0" w:color="auto"/>
              <w:right w:val="nil"/>
            </w:tcBorders>
            <w:shd w:val="clear" w:color="000000" w:fill="FFFFFF"/>
            <w:noWrap/>
            <w:vAlign w:val="bottom"/>
            <w:hideMark/>
          </w:tcPr>
          <w:p w14:paraId="44E3AB71"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10</w:t>
            </w:r>
          </w:p>
        </w:tc>
        <w:tc>
          <w:tcPr>
            <w:tcW w:w="1102" w:type="dxa"/>
            <w:tcBorders>
              <w:top w:val="single" w:sz="4" w:space="0" w:color="auto"/>
              <w:left w:val="nil"/>
              <w:bottom w:val="nil"/>
              <w:right w:val="nil"/>
            </w:tcBorders>
            <w:shd w:val="clear" w:color="000000" w:fill="FFFFFF"/>
            <w:noWrap/>
            <w:vAlign w:val="bottom"/>
            <w:hideMark/>
          </w:tcPr>
          <w:p w14:paraId="6D34F693"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9%</w:t>
            </w:r>
          </w:p>
        </w:tc>
        <w:tc>
          <w:tcPr>
            <w:tcW w:w="2482" w:type="dxa"/>
            <w:tcBorders>
              <w:top w:val="nil"/>
              <w:left w:val="nil"/>
              <w:bottom w:val="nil"/>
              <w:right w:val="nil"/>
            </w:tcBorders>
            <w:shd w:val="clear" w:color="000000" w:fill="FFFFFF"/>
            <w:noWrap/>
            <w:vAlign w:val="bottom"/>
            <w:hideMark/>
          </w:tcPr>
          <w:p w14:paraId="23E44E27"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430.014,65</w:t>
            </w:r>
          </w:p>
        </w:tc>
      </w:tr>
      <w:tr w:rsidR="007E4250" w:rsidRPr="007E4250" w14:paraId="21A379DA" w14:textId="77777777" w:rsidTr="00C51428">
        <w:trPr>
          <w:trHeight w:val="296"/>
        </w:trPr>
        <w:tc>
          <w:tcPr>
            <w:tcW w:w="1881" w:type="dxa"/>
            <w:tcBorders>
              <w:top w:val="nil"/>
              <w:left w:val="nil"/>
              <w:bottom w:val="single" w:sz="4" w:space="0" w:color="auto"/>
              <w:right w:val="nil"/>
            </w:tcBorders>
            <w:shd w:val="clear" w:color="000000" w:fill="FFFFFF"/>
            <w:noWrap/>
            <w:vAlign w:val="bottom"/>
            <w:hideMark/>
          </w:tcPr>
          <w:p w14:paraId="24BF0A8A" w14:textId="77777777" w:rsidR="007E4250" w:rsidRPr="007E4250" w:rsidRDefault="007E4250" w:rsidP="00EF0D90">
            <w:pPr>
              <w:ind w:left="-69"/>
              <w:rPr>
                <w:rFonts w:eastAsia="Times New Roman"/>
                <w:color w:val="000000"/>
                <w:sz w:val="20"/>
                <w:szCs w:val="20"/>
                <w:lang w:eastAsia="pt-BR"/>
              </w:rPr>
            </w:pPr>
            <w:r w:rsidRPr="007E4250">
              <w:rPr>
                <w:rFonts w:eastAsia="Times New Roman"/>
                <w:color w:val="000000"/>
                <w:sz w:val="20"/>
                <w:szCs w:val="20"/>
                <w:lang w:eastAsia="pt-BR"/>
              </w:rPr>
              <w:t>Inexigibilidade</w:t>
            </w:r>
          </w:p>
        </w:tc>
        <w:tc>
          <w:tcPr>
            <w:tcW w:w="2756" w:type="dxa"/>
            <w:tcBorders>
              <w:top w:val="nil"/>
              <w:left w:val="nil"/>
              <w:bottom w:val="single" w:sz="4" w:space="0" w:color="auto"/>
              <w:right w:val="nil"/>
            </w:tcBorders>
            <w:shd w:val="clear" w:color="000000" w:fill="FFFFFF"/>
            <w:noWrap/>
            <w:vAlign w:val="bottom"/>
            <w:hideMark/>
          </w:tcPr>
          <w:p w14:paraId="500413F1"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4</w:t>
            </w:r>
          </w:p>
        </w:tc>
        <w:tc>
          <w:tcPr>
            <w:tcW w:w="1102" w:type="dxa"/>
            <w:tcBorders>
              <w:top w:val="single" w:sz="4" w:space="0" w:color="auto"/>
              <w:left w:val="nil"/>
              <w:bottom w:val="single" w:sz="4" w:space="0" w:color="auto"/>
              <w:right w:val="nil"/>
            </w:tcBorders>
            <w:shd w:val="clear" w:color="000000" w:fill="FFFFFF"/>
            <w:noWrap/>
            <w:vAlign w:val="bottom"/>
            <w:hideMark/>
          </w:tcPr>
          <w:p w14:paraId="477DED27"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4%</w:t>
            </w:r>
          </w:p>
        </w:tc>
        <w:tc>
          <w:tcPr>
            <w:tcW w:w="2482" w:type="dxa"/>
            <w:tcBorders>
              <w:top w:val="single" w:sz="4" w:space="0" w:color="auto"/>
              <w:left w:val="nil"/>
              <w:bottom w:val="nil"/>
              <w:right w:val="nil"/>
            </w:tcBorders>
            <w:shd w:val="clear" w:color="000000" w:fill="FFFFFF"/>
            <w:noWrap/>
            <w:vAlign w:val="bottom"/>
            <w:hideMark/>
          </w:tcPr>
          <w:p w14:paraId="44FFBA86"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117.800,00</w:t>
            </w:r>
          </w:p>
        </w:tc>
      </w:tr>
      <w:tr w:rsidR="007E4250" w:rsidRPr="007E4250" w14:paraId="07F45977" w14:textId="77777777" w:rsidTr="00C51428">
        <w:trPr>
          <w:trHeight w:val="296"/>
        </w:trPr>
        <w:tc>
          <w:tcPr>
            <w:tcW w:w="1881" w:type="dxa"/>
            <w:tcBorders>
              <w:top w:val="nil"/>
              <w:left w:val="nil"/>
              <w:bottom w:val="single" w:sz="4" w:space="0" w:color="auto"/>
              <w:right w:val="nil"/>
            </w:tcBorders>
            <w:shd w:val="clear" w:color="000000" w:fill="FFFFFF"/>
            <w:noWrap/>
            <w:vAlign w:val="bottom"/>
            <w:hideMark/>
          </w:tcPr>
          <w:p w14:paraId="17866B80" w14:textId="77777777" w:rsidR="007E4250" w:rsidRPr="007E4250" w:rsidRDefault="007E4250" w:rsidP="00EF0D90">
            <w:pPr>
              <w:ind w:left="-69"/>
              <w:rPr>
                <w:rFonts w:eastAsia="Times New Roman"/>
                <w:color w:val="000000"/>
                <w:sz w:val="20"/>
                <w:szCs w:val="20"/>
                <w:lang w:eastAsia="pt-BR"/>
              </w:rPr>
            </w:pPr>
            <w:r w:rsidRPr="007E4250">
              <w:rPr>
                <w:rFonts w:eastAsia="Times New Roman"/>
                <w:color w:val="000000"/>
                <w:sz w:val="20"/>
                <w:szCs w:val="20"/>
                <w:lang w:eastAsia="pt-BR"/>
              </w:rPr>
              <w:t>Pregão Presencial</w:t>
            </w:r>
          </w:p>
        </w:tc>
        <w:tc>
          <w:tcPr>
            <w:tcW w:w="2756" w:type="dxa"/>
            <w:tcBorders>
              <w:top w:val="nil"/>
              <w:left w:val="nil"/>
              <w:bottom w:val="single" w:sz="4" w:space="0" w:color="auto"/>
              <w:right w:val="nil"/>
            </w:tcBorders>
            <w:shd w:val="clear" w:color="000000" w:fill="FFFFFF"/>
            <w:noWrap/>
            <w:vAlign w:val="bottom"/>
            <w:hideMark/>
          </w:tcPr>
          <w:p w14:paraId="1AD6D608"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73</w:t>
            </w:r>
          </w:p>
        </w:tc>
        <w:tc>
          <w:tcPr>
            <w:tcW w:w="1102" w:type="dxa"/>
            <w:tcBorders>
              <w:top w:val="nil"/>
              <w:left w:val="nil"/>
              <w:bottom w:val="nil"/>
              <w:right w:val="nil"/>
            </w:tcBorders>
            <w:shd w:val="clear" w:color="000000" w:fill="FFFFFF"/>
            <w:noWrap/>
            <w:vAlign w:val="bottom"/>
            <w:hideMark/>
          </w:tcPr>
          <w:p w14:paraId="3EDDC427"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65%</w:t>
            </w:r>
          </w:p>
        </w:tc>
        <w:tc>
          <w:tcPr>
            <w:tcW w:w="2482" w:type="dxa"/>
            <w:tcBorders>
              <w:top w:val="single" w:sz="4" w:space="0" w:color="auto"/>
              <w:left w:val="nil"/>
              <w:bottom w:val="nil"/>
              <w:right w:val="nil"/>
            </w:tcBorders>
            <w:shd w:val="clear" w:color="000000" w:fill="FFFFFF"/>
            <w:noWrap/>
            <w:vAlign w:val="bottom"/>
            <w:hideMark/>
          </w:tcPr>
          <w:p w14:paraId="5CBADE70"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9.440.422,01</w:t>
            </w:r>
          </w:p>
        </w:tc>
      </w:tr>
      <w:tr w:rsidR="007E4250" w:rsidRPr="007E4250" w14:paraId="1CCF4ED8" w14:textId="77777777" w:rsidTr="00C51428">
        <w:trPr>
          <w:trHeight w:val="296"/>
        </w:trPr>
        <w:tc>
          <w:tcPr>
            <w:tcW w:w="1881" w:type="dxa"/>
            <w:tcBorders>
              <w:top w:val="nil"/>
              <w:left w:val="nil"/>
              <w:bottom w:val="single" w:sz="4" w:space="0" w:color="auto"/>
              <w:right w:val="nil"/>
            </w:tcBorders>
            <w:shd w:val="clear" w:color="000000" w:fill="FFFFFF"/>
            <w:noWrap/>
            <w:vAlign w:val="bottom"/>
            <w:hideMark/>
          </w:tcPr>
          <w:p w14:paraId="4418D77D" w14:textId="77777777" w:rsidR="007E4250" w:rsidRPr="007E4250" w:rsidRDefault="007E4250" w:rsidP="00EF0D90">
            <w:pPr>
              <w:ind w:left="-69"/>
              <w:rPr>
                <w:rFonts w:eastAsia="Times New Roman"/>
                <w:color w:val="000000"/>
                <w:sz w:val="20"/>
                <w:szCs w:val="20"/>
                <w:lang w:eastAsia="pt-BR"/>
              </w:rPr>
            </w:pPr>
            <w:r w:rsidRPr="007E4250">
              <w:rPr>
                <w:rFonts w:eastAsia="Times New Roman"/>
                <w:color w:val="000000"/>
                <w:sz w:val="20"/>
                <w:szCs w:val="20"/>
                <w:lang w:eastAsia="pt-BR"/>
              </w:rPr>
              <w:t>Tomada de Preços</w:t>
            </w:r>
          </w:p>
        </w:tc>
        <w:tc>
          <w:tcPr>
            <w:tcW w:w="2756" w:type="dxa"/>
            <w:tcBorders>
              <w:top w:val="nil"/>
              <w:left w:val="nil"/>
              <w:bottom w:val="single" w:sz="4" w:space="0" w:color="auto"/>
              <w:right w:val="nil"/>
            </w:tcBorders>
            <w:shd w:val="clear" w:color="000000" w:fill="FFFFFF"/>
            <w:noWrap/>
            <w:vAlign w:val="bottom"/>
            <w:hideMark/>
          </w:tcPr>
          <w:p w14:paraId="080FA52A"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6</w:t>
            </w:r>
          </w:p>
        </w:tc>
        <w:tc>
          <w:tcPr>
            <w:tcW w:w="1102" w:type="dxa"/>
            <w:tcBorders>
              <w:top w:val="single" w:sz="4" w:space="0" w:color="auto"/>
              <w:left w:val="nil"/>
              <w:bottom w:val="single" w:sz="4" w:space="0" w:color="auto"/>
              <w:right w:val="nil"/>
            </w:tcBorders>
            <w:shd w:val="clear" w:color="000000" w:fill="FFFFFF"/>
            <w:noWrap/>
            <w:vAlign w:val="bottom"/>
            <w:hideMark/>
          </w:tcPr>
          <w:p w14:paraId="5B3FEC10"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5%</w:t>
            </w:r>
          </w:p>
        </w:tc>
        <w:tc>
          <w:tcPr>
            <w:tcW w:w="2482" w:type="dxa"/>
            <w:tcBorders>
              <w:top w:val="single" w:sz="4" w:space="0" w:color="auto"/>
              <w:left w:val="nil"/>
              <w:bottom w:val="nil"/>
              <w:right w:val="nil"/>
            </w:tcBorders>
            <w:shd w:val="clear" w:color="000000" w:fill="FFFFFF"/>
            <w:noWrap/>
            <w:vAlign w:val="bottom"/>
            <w:hideMark/>
          </w:tcPr>
          <w:p w14:paraId="3E4FF74E"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981.173,03</w:t>
            </w:r>
          </w:p>
        </w:tc>
      </w:tr>
      <w:tr w:rsidR="007E4250" w:rsidRPr="007E4250" w14:paraId="2D29C299" w14:textId="77777777" w:rsidTr="00C51428">
        <w:trPr>
          <w:trHeight w:val="296"/>
        </w:trPr>
        <w:tc>
          <w:tcPr>
            <w:tcW w:w="1881" w:type="dxa"/>
            <w:tcBorders>
              <w:top w:val="nil"/>
              <w:left w:val="nil"/>
              <w:bottom w:val="single" w:sz="4" w:space="0" w:color="auto"/>
              <w:right w:val="nil"/>
            </w:tcBorders>
            <w:shd w:val="clear" w:color="000000" w:fill="FFFFFF"/>
            <w:noWrap/>
            <w:vAlign w:val="bottom"/>
            <w:hideMark/>
          </w:tcPr>
          <w:p w14:paraId="58107056" w14:textId="77777777" w:rsidR="007E4250" w:rsidRPr="007E4250" w:rsidRDefault="007E4250" w:rsidP="00EF0D90">
            <w:pPr>
              <w:ind w:left="-69"/>
              <w:rPr>
                <w:rFonts w:eastAsia="Times New Roman"/>
                <w:b/>
                <w:bCs/>
                <w:color w:val="000000"/>
                <w:sz w:val="20"/>
                <w:szCs w:val="20"/>
                <w:lang w:eastAsia="pt-BR"/>
              </w:rPr>
            </w:pPr>
            <w:r w:rsidRPr="007E4250">
              <w:rPr>
                <w:rFonts w:eastAsia="Times New Roman"/>
                <w:b/>
                <w:bCs/>
                <w:color w:val="000000"/>
                <w:sz w:val="20"/>
                <w:szCs w:val="20"/>
                <w:lang w:eastAsia="pt-BR"/>
              </w:rPr>
              <w:t>Total</w:t>
            </w:r>
          </w:p>
        </w:tc>
        <w:tc>
          <w:tcPr>
            <w:tcW w:w="2756" w:type="dxa"/>
            <w:tcBorders>
              <w:top w:val="nil"/>
              <w:left w:val="nil"/>
              <w:bottom w:val="single" w:sz="4" w:space="0" w:color="auto"/>
              <w:right w:val="nil"/>
            </w:tcBorders>
            <w:shd w:val="clear" w:color="auto" w:fill="auto"/>
            <w:noWrap/>
            <w:vAlign w:val="bottom"/>
            <w:hideMark/>
          </w:tcPr>
          <w:p w14:paraId="09B2721B" w14:textId="77777777" w:rsidR="007E4250" w:rsidRPr="007E4250" w:rsidRDefault="007E4250" w:rsidP="007E4250">
            <w:pPr>
              <w:jc w:val="center"/>
              <w:rPr>
                <w:rFonts w:eastAsia="Times New Roman"/>
                <w:b/>
                <w:bCs/>
                <w:color w:val="000000"/>
                <w:sz w:val="20"/>
                <w:szCs w:val="20"/>
                <w:lang w:eastAsia="pt-BR"/>
              </w:rPr>
            </w:pPr>
            <w:r w:rsidRPr="007E4250">
              <w:rPr>
                <w:rFonts w:eastAsia="Times New Roman"/>
                <w:b/>
                <w:bCs/>
                <w:color w:val="000000"/>
                <w:sz w:val="20"/>
                <w:szCs w:val="20"/>
                <w:lang w:eastAsia="pt-BR"/>
              </w:rPr>
              <w:t>112</w:t>
            </w:r>
          </w:p>
        </w:tc>
        <w:tc>
          <w:tcPr>
            <w:tcW w:w="1102" w:type="dxa"/>
            <w:tcBorders>
              <w:top w:val="nil"/>
              <w:left w:val="nil"/>
              <w:bottom w:val="single" w:sz="4" w:space="0" w:color="auto"/>
              <w:right w:val="nil"/>
            </w:tcBorders>
            <w:shd w:val="clear" w:color="000000" w:fill="FFFFFF"/>
            <w:noWrap/>
            <w:vAlign w:val="bottom"/>
            <w:hideMark/>
          </w:tcPr>
          <w:p w14:paraId="1DD027A3" w14:textId="77777777" w:rsidR="007E4250" w:rsidRPr="007E4250" w:rsidRDefault="007E4250" w:rsidP="007E4250">
            <w:pPr>
              <w:jc w:val="center"/>
              <w:rPr>
                <w:rFonts w:eastAsia="Times New Roman"/>
                <w:color w:val="000000"/>
                <w:sz w:val="20"/>
                <w:szCs w:val="20"/>
                <w:lang w:eastAsia="pt-BR"/>
              </w:rPr>
            </w:pPr>
            <w:r w:rsidRPr="007E4250">
              <w:rPr>
                <w:rFonts w:eastAsia="Times New Roman"/>
                <w:color w:val="000000"/>
                <w:sz w:val="20"/>
                <w:szCs w:val="20"/>
                <w:lang w:eastAsia="pt-BR"/>
              </w:rPr>
              <w:t>100%</w:t>
            </w:r>
          </w:p>
        </w:tc>
        <w:tc>
          <w:tcPr>
            <w:tcW w:w="2482" w:type="dxa"/>
            <w:tcBorders>
              <w:top w:val="single" w:sz="4" w:space="0" w:color="auto"/>
              <w:left w:val="nil"/>
              <w:bottom w:val="single" w:sz="4" w:space="0" w:color="auto"/>
              <w:right w:val="nil"/>
            </w:tcBorders>
            <w:shd w:val="clear" w:color="auto" w:fill="auto"/>
            <w:noWrap/>
            <w:vAlign w:val="bottom"/>
            <w:hideMark/>
          </w:tcPr>
          <w:p w14:paraId="558D6A09" w14:textId="77777777" w:rsidR="007E4250" w:rsidRPr="007E4250" w:rsidRDefault="007E4250" w:rsidP="007E4250">
            <w:pPr>
              <w:jc w:val="center"/>
              <w:rPr>
                <w:rFonts w:eastAsia="Times New Roman"/>
                <w:b/>
                <w:bCs/>
                <w:color w:val="000000"/>
                <w:sz w:val="20"/>
                <w:szCs w:val="20"/>
                <w:lang w:eastAsia="pt-BR"/>
              </w:rPr>
            </w:pPr>
            <w:r w:rsidRPr="007E4250">
              <w:rPr>
                <w:rFonts w:eastAsia="Times New Roman"/>
                <w:b/>
                <w:bCs/>
                <w:color w:val="000000"/>
                <w:sz w:val="20"/>
                <w:szCs w:val="20"/>
                <w:lang w:eastAsia="pt-BR"/>
              </w:rPr>
              <w:t>11.702.227,08</w:t>
            </w:r>
          </w:p>
        </w:tc>
      </w:tr>
    </w:tbl>
    <w:p w14:paraId="7056069D" w14:textId="01F9E932" w:rsidR="00B24E79" w:rsidRDefault="00E550C2" w:rsidP="00C51428">
      <w:pPr>
        <w:pStyle w:val="UnidaviTexto-Espao15"/>
        <w:ind w:left="284" w:firstLine="0"/>
        <w:rPr>
          <w:rFonts w:cs="Times New Roman"/>
          <w:sz w:val="20"/>
          <w:szCs w:val="20"/>
        </w:rPr>
      </w:pPr>
      <w:r w:rsidRPr="0018742D">
        <w:rPr>
          <w:rFonts w:cs="Times New Roman"/>
          <w:sz w:val="20"/>
          <w:szCs w:val="20"/>
        </w:rPr>
        <w:t xml:space="preserve">Fonte: </w:t>
      </w:r>
      <w:r w:rsidR="006362E8">
        <w:rPr>
          <w:rFonts w:cs="Times New Roman"/>
          <w:sz w:val="20"/>
          <w:szCs w:val="20"/>
        </w:rPr>
        <w:t>Dados da pesquisa (2021)</w:t>
      </w:r>
      <w:r w:rsidR="00725279">
        <w:rPr>
          <w:rFonts w:cs="Times New Roman"/>
          <w:sz w:val="20"/>
          <w:szCs w:val="20"/>
        </w:rPr>
        <w:t xml:space="preserve"> </w:t>
      </w:r>
    </w:p>
    <w:p w14:paraId="1E56C23E" w14:textId="77777777" w:rsidR="00725279" w:rsidRPr="00725279" w:rsidRDefault="00725279" w:rsidP="00725279">
      <w:pPr>
        <w:pStyle w:val="UnidaviTexto-Espao15"/>
        <w:ind w:firstLine="0"/>
        <w:rPr>
          <w:rFonts w:cs="Times New Roman"/>
          <w:sz w:val="20"/>
          <w:szCs w:val="20"/>
        </w:rPr>
      </w:pPr>
    </w:p>
    <w:p w14:paraId="08130CDB" w14:textId="573AEA32" w:rsidR="00E1351B" w:rsidRDefault="00B24E79" w:rsidP="00B24E79">
      <w:pPr>
        <w:pStyle w:val="UnidaviTexto-Espao15"/>
      </w:pPr>
      <w:r>
        <w:lastRenderedPageBreak/>
        <w:t>Em seguida ficou a modalidade convite com 18 participações, a modalidade dispensa com 10 participações e a modalidade concorrência com 1 participação. Teve 6 licitações que aconteceram para a tomada de preços e apenas 4 licitações foram feitas por inexigibilidade, que ocorre por impossibilidade de competição entre os participantes.</w:t>
      </w:r>
    </w:p>
    <w:p w14:paraId="0A3777AE" w14:textId="77777777" w:rsidR="006362E8" w:rsidRPr="00B24E79" w:rsidRDefault="006362E8" w:rsidP="00B24E79">
      <w:pPr>
        <w:pStyle w:val="UnidaviTexto-Espao15"/>
      </w:pPr>
    </w:p>
    <w:p w14:paraId="5A142CBC" w14:textId="4A556798" w:rsidR="00503F0E" w:rsidRPr="006362E8" w:rsidRDefault="006362E8" w:rsidP="006362E8">
      <w:pPr>
        <w:pStyle w:val="UnidaviTexto-Espao15"/>
        <w:spacing w:line="240" w:lineRule="auto"/>
        <w:ind w:left="284" w:firstLine="0"/>
        <w:rPr>
          <w:b/>
          <w:sz w:val="20"/>
        </w:rPr>
      </w:pPr>
      <w:r w:rsidRPr="007F2776">
        <w:rPr>
          <w:b/>
          <w:sz w:val="20"/>
        </w:rPr>
        <w:t>Gr</w:t>
      </w:r>
      <w:r>
        <w:rPr>
          <w:b/>
          <w:sz w:val="20"/>
        </w:rPr>
        <w:t>áfico 3</w:t>
      </w:r>
      <w:r w:rsidRPr="007F2776">
        <w:rPr>
          <w:b/>
          <w:sz w:val="20"/>
        </w:rPr>
        <w:t xml:space="preserve"> – </w:t>
      </w:r>
      <w:r>
        <w:rPr>
          <w:b/>
          <w:sz w:val="20"/>
        </w:rPr>
        <w:t>Percentual de cada modalidade de licitação no ano 2017</w:t>
      </w:r>
    </w:p>
    <w:p w14:paraId="4533822B" w14:textId="1F96F3AC" w:rsidR="0021333A" w:rsidRDefault="0021333A" w:rsidP="006362E8">
      <w:pPr>
        <w:pStyle w:val="UNIDAVISEOPRIMRIA"/>
        <w:ind w:left="284" w:right="284"/>
        <w:rPr>
          <w:sz w:val="20"/>
          <w:szCs w:val="20"/>
          <w:lang w:val="pt-BR"/>
        </w:rPr>
      </w:pPr>
      <w:r>
        <w:rPr>
          <w:noProof/>
          <w:lang w:val="pt-BR" w:eastAsia="pt-BR"/>
        </w:rPr>
        <w:drawing>
          <wp:inline distT="0" distB="0" distL="0" distR="0" wp14:anchorId="7D0EC8F9" wp14:editId="27F02802">
            <wp:extent cx="5191125" cy="3474720"/>
            <wp:effectExtent l="0" t="0" r="9525" b="1143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8FCF33" w14:textId="5FE5077D" w:rsidR="00B24E79" w:rsidRPr="001E0F72" w:rsidRDefault="006362E8" w:rsidP="006362E8">
      <w:pPr>
        <w:pStyle w:val="UnidaviTexto-Espao15"/>
        <w:spacing w:line="240" w:lineRule="auto"/>
        <w:ind w:left="284" w:firstLine="0"/>
        <w:rPr>
          <w:sz w:val="20"/>
        </w:rPr>
      </w:pPr>
      <w:r>
        <w:rPr>
          <w:sz w:val="20"/>
        </w:rPr>
        <w:t>Fonte: Dados da pesquisa (2021)</w:t>
      </w:r>
    </w:p>
    <w:p w14:paraId="3480C23D" w14:textId="35538FCD" w:rsidR="00503F0E" w:rsidRDefault="00503F0E" w:rsidP="00213B0F">
      <w:pPr>
        <w:pStyle w:val="UNIDAVISEOPRIMRIA"/>
        <w:spacing w:line="360" w:lineRule="auto"/>
        <w:rPr>
          <w:sz w:val="20"/>
          <w:szCs w:val="20"/>
          <w:lang w:val="pt-BR"/>
        </w:rPr>
      </w:pPr>
    </w:p>
    <w:p w14:paraId="210C8896" w14:textId="213A9E45" w:rsidR="00F70B08" w:rsidRDefault="00F70B08" w:rsidP="00725279">
      <w:pPr>
        <w:pStyle w:val="UnidaviTexto-Espao15"/>
      </w:pPr>
      <w:r>
        <w:t xml:space="preserve">Em relação aos percentuais de participação, cerca de 65% das licitações foram </w:t>
      </w:r>
      <w:r w:rsidR="00F4530A">
        <w:t xml:space="preserve">realizadas </w:t>
      </w:r>
      <w:r w:rsidR="008646AA">
        <w:t>através do pregão presencial, conforme demonstrados pelo Gráfico 3.</w:t>
      </w:r>
    </w:p>
    <w:p w14:paraId="45D6D0D2" w14:textId="63C594E2" w:rsidR="00503F0E" w:rsidRDefault="008646AA" w:rsidP="00400DD6">
      <w:pPr>
        <w:pStyle w:val="UnidaviTexto-Espao15"/>
      </w:pPr>
      <w:r>
        <w:t>A Tabela 3 aponta que n</w:t>
      </w:r>
      <w:r w:rsidR="00F4530A">
        <w:t>o ano de 2017</w:t>
      </w:r>
      <w:r>
        <w:t>,</w:t>
      </w:r>
      <w:r w:rsidR="00F4530A">
        <w:t xml:space="preserve"> </w:t>
      </w:r>
      <w:r w:rsidR="00460C41">
        <w:t>nas 112</w:t>
      </w:r>
      <w:r w:rsidR="00F4530A">
        <w:t xml:space="preserve"> licitações homologadas, identificou-se 285 participações</w:t>
      </w:r>
      <w:r w:rsidR="00400DD6">
        <w:t xml:space="preserve"> de empresas, onde 121 dessas participações foram de empresas do município de Taió, 75 foram de empresas do Alto Vale do Itajaí e 89 foram de empresas de fora do Alto Vale do Itajaí.</w:t>
      </w:r>
    </w:p>
    <w:p w14:paraId="5A551EBA" w14:textId="77777777" w:rsidR="00F4530A" w:rsidRDefault="00F4530A" w:rsidP="00213B0F">
      <w:pPr>
        <w:pStyle w:val="UNIDAVISEOPRIMRIA"/>
        <w:spacing w:line="360" w:lineRule="auto"/>
        <w:rPr>
          <w:sz w:val="20"/>
          <w:szCs w:val="20"/>
          <w:lang w:val="pt-BR"/>
        </w:rPr>
      </w:pPr>
    </w:p>
    <w:p w14:paraId="5959EB34" w14:textId="70C87171" w:rsidR="00503F0E" w:rsidRPr="006362E8" w:rsidRDefault="008646AA" w:rsidP="00C51428">
      <w:pPr>
        <w:pStyle w:val="UnidaviTexto-Espao15"/>
        <w:spacing w:line="240" w:lineRule="auto"/>
        <w:ind w:left="284" w:firstLine="0"/>
        <w:rPr>
          <w:b/>
          <w:sz w:val="20"/>
          <w:szCs w:val="20"/>
        </w:rPr>
      </w:pPr>
      <w:r>
        <w:rPr>
          <w:b/>
          <w:sz w:val="20"/>
          <w:szCs w:val="20"/>
        </w:rPr>
        <w:t xml:space="preserve">Tabela </w:t>
      </w:r>
      <w:r w:rsidR="00503F0E" w:rsidRPr="006362E8">
        <w:rPr>
          <w:b/>
          <w:sz w:val="20"/>
          <w:szCs w:val="20"/>
        </w:rPr>
        <w:t>3 – Empresas participantes/Empresas vencedoras</w:t>
      </w:r>
      <w:r w:rsidR="00130FD6" w:rsidRPr="006362E8">
        <w:rPr>
          <w:b/>
          <w:sz w:val="20"/>
          <w:szCs w:val="20"/>
        </w:rPr>
        <w:t xml:space="preserve"> no ano 2017</w:t>
      </w:r>
    </w:p>
    <w:tbl>
      <w:tblPr>
        <w:tblW w:w="8221" w:type="dxa"/>
        <w:tblInd w:w="284" w:type="dxa"/>
        <w:tblCellMar>
          <w:left w:w="70" w:type="dxa"/>
          <w:right w:w="70" w:type="dxa"/>
        </w:tblCellMar>
        <w:tblLook w:val="04A0" w:firstRow="1" w:lastRow="0" w:firstColumn="1" w:lastColumn="0" w:noHBand="0" w:noVBand="1"/>
      </w:tblPr>
      <w:tblGrid>
        <w:gridCol w:w="1701"/>
        <w:gridCol w:w="1559"/>
        <w:gridCol w:w="709"/>
        <w:gridCol w:w="2126"/>
        <w:gridCol w:w="1134"/>
        <w:gridCol w:w="992"/>
      </w:tblGrid>
      <w:tr w:rsidR="00503F0E" w:rsidRPr="00503F0E" w14:paraId="0A7E172F" w14:textId="77777777" w:rsidTr="00C51428">
        <w:trPr>
          <w:trHeight w:val="300"/>
        </w:trPr>
        <w:tc>
          <w:tcPr>
            <w:tcW w:w="1701" w:type="dxa"/>
            <w:tcBorders>
              <w:top w:val="single" w:sz="4" w:space="0" w:color="auto"/>
              <w:left w:val="nil"/>
              <w:bottom w:val="single" w:sz="4" w:space="0" w:color="auto"/>
              <w:right w:val="nil"/>
            </w:tcBorders>
            <w:shd w:val="clear" w:color="000000" w:fill="FFFFFF"/>
            <w:noWrap/>
            <w:vAlign w:val="bottom"/>
            <w:hideMark/>
          </w:tcPr>
          <w:p w14:paraId="4A849912" w14:textId="77777777" w:rsidR="00503F0E" w:rsidRPr="00503F0E" w:rsidRDefault="00503F0E" w:rsidP="00EF0D90">
            <w:pPr>
              <w:ind w:left="-69"/>
              <w:rPr>
                <w:rFonts w:eastAsia="Times New Roman"/>
                <w:b/>
                <w:bCs/>
                <w:color w:val="000000"/>
                <w:sz w:val="20"/>
                <w:szCs w:val="20"/>
                <w:lang w:eastAsia="pt-BR"/>
              </w:rPr>
            </w:pPr>
            <w:r w:rsidRPr="00503F0E">
              <w:rPr>
                <w:rFonts w:eastAsia="Times New Roman"/>
                <w:b/>
                <w:bCs/>
                <w:color w:val="000000"/>
                <w:sz w:val="20"/>
                <w:szCs w:val="20"/>
                <w:lang w:eastAsia="pt-BR"/>
              </w:rPr>
              <w:t xml:space="preserve">Participações </w:t>
            </w:r>
          </w:p>
        </w:tc>
        <w:tc>
          <w:tcPr>
            <w:tcW w:w="1559" w:type="dxa"/>
            <w:tcBorders>
              <w:top w:val="single" w:sz="4" w:space="0" w:color="auto"/>
              <w:left w:val="nil"/>
              <w:bottom w:val="single" w:sz="4" w:space="0" w:color="auto"/>
              <w:right w:val="nil"/>
            </w:tcBorders>
            <w:shd w:val="clear" w:color="000000" w:fill="FFFFFF"/>
            <w:noWrap/>
            <w:vAlign w:val="bottom"/>
            <w:hideMark/>
          </w:tcPr>
          <w:p w14:paraId="5BF13528" w14:textId="77777777" w:rsidR="00503F0E" w:rsidRPr="00503F0E" w:rsidRDefault="00503F0E" w:rsidP="00503F0E">
            <w:pPr>
              <w:jc w:val="center"/>
              <w:rPr>
                <w:rFonts w:eastAsia="Times New Roman"/>
                <w:b/>
                <w:bCs/>
                <w:color w:val="000000"/>
                <w:sz w:val="20"/>
                <w:szCs w:val="20"/>
                <w:lang w:eastAsia="pt-BR"/>
              </w:rPr>
            </w:pPr>
            <w:r w:rsidRPr="00503F0E">
              <w:rPr>
                <w:rFonts w:eastAsia="Times New Roman"/>
                <w:b/>
                <w:bCs/>
                <w:color w:val="000000"/>
                <w:sz w:val="20"/>
                <w:szCs w:val="20"/>
                <w:lang w:eastAsia="pt-BR"/>
              </w:rPr>
              <w:t>Total de empresas</w:t>
            </w:r>
          </w:p>
        </w:tc>
        <w:tc>
          <w:tcPr>
            <w:tcW w:w="709" w:type="dxa"/>
            <w:tcBorders>
              <w:top w:val="single" w:sz="4" w:space="0" w:color="auto"/>
              <w:left w:val="nil"/>
              <w:bottom w:val="single" w:sz="4" w:space="0" w:color="auto"/>
              <w:right w:val="nil"/>
            </w:tcBorders>
            <w:shd w:val="clear" w:color="000000" w:fill="FFFFFF"/>
            <w:noWrap/>
            <w:vAlign w:val="bottom"/>
            <w:hideMark/>
          </w:tcPr>
          <w:p w14:paraId="4F9135C4" w14:textId="77777777" w:rsidR="00503F0E" w:rsidRPr="00503F0E" w:rsidRDefault="00503F0E" w:rsidP="00503F0E">
            <w:pPr>
              <w:jc w:val="center"/>
              <w:rPr>
                <w:rFonts w:eastAsia="Times New Roman"/>
                <w:b/>
                <w:bCs/>
                <w:color w:val="000000"/>
                <w:sz w:val="20"/>
                <w:szCs w:val="20"/>
                <w:lang w:eastAsia="pt-BR"/>
              </w:rPr>
            </w:pPr>
            <w:r w:rsidRPr="00503F0E">
              <w:rPr>
                <w:rFonts w:eastAsia="Times New Roman"/>
                <w:b/>
                <w:bCs/>
                <w:color w:val="000000"/>
                <w:sz w:val="20"/>
                <w:szCs w:val="20"/>
                <w:lang w:eastAsia="pt-BR"/>
              </w:rPr>
              <w:t>%</w:t>
            </w:r>
          </w:p>
        </w:tc>
        <w:tc>
          <w:tcPr>
            <w:tcW w:w="2126" w:type="dxa"/>
            <w:tcBorders>
              <w:top w:val="single" w:sz="4" w:space="0" w:color="auto"/>
              <w:left w:val="nil"/>
              <w:bottom w:val="single" w:sz="4" w:space="0" w:color="auto"/>
              <w:right w:val="nil"/>
            </w:tcBorders>
            <w:shd w:val="clear" w:color="000000" w:fill="FFFFFF"/>
            <w:noWrap/>
            <w:vAlign w:val="bottom"/>
            <w:hideMark/>
          </w:tcPr>
          <w:p w14:paraId="10C8922C" w14:textId="77777777" w:rsidR="00503F0E" w:rsidRPr="00503F0E" w:rsidRDefault="00503F0E" w:rsidP="00503F0E">
            <w:pPr>
              <w:jc w:val="center"/>
              <w:rPr>
                <w:rFonts w:eastAsia="Times New Roman"/>
                <w:b/>
                <w:bCs/>
                <w:color w:val="000000"/>
                <w:sz w:val="20"/>
                <w:szCs w:val="20"/>
                <w:lang w:eastAsia="pt-BR"/>
              </w:rPr>
            </w:pPr>
            <w:r w:rsidRPr="00503F0E">
              <w:rPr>
                <w:rFonts w:eastAsia="Times New Roman"/>
                <w:b/>
                <w:bCs/>
                <w:color w:val="000000"/>
                <w:sz w:val="20"/>
                <w:szCs w:val="20"/>
                <w:lang w:eastAsia="pt-BR"/>
              </w:rPr>
              <w:t>Vencedoras</w:t>
            </w:r>
          </w:p>
        </w:tc>
        <w:tc>
          <w:tcPr>
            <w:tcW w:w="1134" w:type="dxa"/>
            <w:tcBorders>
              <w:top w:val="single" w:sz="4" w:space="0" w:color="auto"/>
              <w:left w:val="nil"/>
              <w:bottom w:val="single" w:sz="4" w:space="0" w:color="auto"/>
              <w:right w:val="nil"/>
            </w:tcBorders>
            <w:shd w:val="clear" w:color="000000" w:fill="FFFFFF"/>
            <w:noWrap/>
            <w:vAlign w:val="bottom"/>
            <w:hideMark/>
          </w:tcPr>
          <w:p w14:paraId="799C6006" w14:textId="77777777" w:rsidR="00503F0E" w:rsidRPr="00503F0E" w:rsidRDefault="00503F0E" w:rsidP="00503F0E">
            <w:pPr>
              <w:jc w:val="center"/>
              <w:rPr>
                <w:rFonts w:eastAsia="Times New Roman"/>
                <w:b/>
                <w:bCs/>
                <w:color w:val="000000"/>
                <w:sz w:val="20"/>
                <w:szCs w:val="20"/>
                <w:lang w:eastAsia="pt-BR"/>
              </w:rPr>
            </w:pPr>
            <w:r w:rsidRPr="00503F0E">
              <w:rPr>
                <w:rFonts w:eastAsia="Times New Roman"/>
                <w:b/>
                <w:bCs/>
                <w:color w:val="000000"/>
                <w:sz w:val="20"/>
                <w:szCs w:val="20"/>
                <w:lang w:eastAsia="pt-BR"/>
              </w:rPr>
              <w:t>Total de empresas</w:t>
            </w:r>
          </w:p>
        </w:tc>
        <w:tc>
          <w:tcPr>
            <w:tcW w:w="992" w:type="dxa"/>
            <w:tcBorders>
              <w:top w:val="single" w:sz="4" w:space="0" w:color="auto"/>
              <w:left w:val="nil"/>
              <w:bottom w:val="single" w:sz="4" w:space="0" w:color="auto"/>
              <w:right w:val="nil"/>
            </w:tcBorders>
            <w:shd w:val="clear" w:color="000000" w:fill="FFFFFF"/>
            <w:noWrap/>
            <w:vAlign w:val="bottom"/>
            <w:hideMark/>
          </w:tcPr>
          <w:p w14:paraId="7F1CAF4D" w14:textId="77777777" w:rsidR="00503F0E" w:rsidRPr="00503F0E" w:rsidRDefault="00503F0E" w:rsidP="00503F0E">
            <w:pPr>
              <w:jc w:val="center"/>
              <w:rPr>
                <w:rFonts w:eastAsia="Times New Roman"/>
                <w:b/>
                <w:bCs/>
                <w:color w:val="000000"/>
                <w:sz w:val="20"/>
                <w:szCs w:val="20"/>
                <w:lang w:eastAsia="pt-BR"/>
              </w:rPr>
            </w:pPr>
            <w:r w:rsidRPr="00503F0E">
              <w:rPr>
                <w:rFonts w:eastAsia="Times New Roman"/>
                <w:b/>
                <w:bCs/>
                <w:color w:val="000000"/>
                <w:sz w:val="20"/>
                <w:szCs w:val="20"/>
                <w:lang w:eastAsia="pt-BR"/>
              </w:rPr>
              <w:t>%</w:t>
            </w:r>
          </w:p>
        </w:tc>
      </w:tr>
      <w:tr w:rsidR="00503F0E" w:rsidRPr="00503F0E" w14:paraId="72F82B67" w14:textId="77777777" w:rsidTr="00C51428">
        <w:trPr>
          <w:trHeight w:val="300"/>
        </w:trPr>
        <w:tc>
          <w:tcPr>
            <w:tcW w:w="1701" w:type="dxa"/>
            <w:tcBorders>
              <w:top w:val="nil"/>
              <w:left w:val="nil"/>
              <w:bottom w:val="single" w:sz="4" w:space="0" w:color="auto"/>
              <w:right w:val="nil"/>
            </w:tcBorders>
            <w:shd w:val="clear" w:color="000000" w:fill="FFFFFF"/>
            <w:noWrap/>
            <w:vAlign w:val="bottom"/>
            <w:hideMark/>
          </w:tcPr>
          <w:p w14:paraId="224C2371" w14:textId="77777777" w:rsidR="00503F0E" w:rsidRPr="00503F0E" w:rsidRDefault="00503F0E" w:rsidP="00EF0D90">
            <w:pPr>
              <w:ind w:left="-69"/>
              <w:rPr>
                <w:rFonts w:eastAsia="Times New Roman"/>
                <w:color w:val="000000"/>
                <w:sz w:val="20"/>
                <w:szCs w:val="20"/>
                <w:lang w:eastAsia="pt-BR"/>
              </w:rPr>
            </w:pPr>
            <w:r w:rsidRPr="00503F0E">
              <w:rPr>
                <w:rFonts w:eastAsia="Times New Roman"/>
                <w:color w:val="000000"/>
                <w:sz w:val="20"/>
                <w:szCs w:val="20"/>
                <w:lang w:eastAsia="pt-BR"/>
              </w:rPr>
              <w:t>Ano 2017</w:t>
            </w:r>
          </w:p>
        </w:tc>
        <w:tc>
          <w:tcPr>
            <w:tcW w:w="1559" w:type="dxa"/>
            <w:tcBorders>
              <w:top w:val="nil"/>
              <w:left w:val="nil"/>
              <w:bottom w:val="single" w:sz="4" w:space="0" w:color="auto"/>
              <w:right w:val="nil"/>
            </w:tcBorders>
            <w:shd w:val="clear" w:color="000000" w:fill="FFFFFF"/>
            <w:noWrap/>
            <w:vAlign w:val="bottom"/>
            <w:hideMark/>
          </w:tcPr>
          <w:p w14:paraId="5DF876D2"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285</w:t>
            </w:r>
          </w:p>
        </w:tc>
        <w:tc>
          <w:tcPr>
            <w:tcW w:w="709" w:type="dxa"/>
            <w:tcBorders>
              <w:top w:val="nil"/>
              <w:left w:val="nil"/>
              <w:bottom w:val="single" w:sz="4" w:space="0" w:color="auto"/>
              <w:right w:val="nil"/>
            </w:tcBorders>
            <w:shd w:val="clear" w:color="000000" w:fill="FFFFFF"/>
            <w:noWrap/>
            <w:vAlign w:val="bottom"/>
            <w:hideMark/>
          </w:tcPr>
          <w:p w14:paraId="1FF34F27"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100%</w:t>
            </w:r>
          </w:p>
        </w:tc>
        <w:tc>
          <w:tcPr>
            <w:tcW w:w="2126" w:type="dxa"/>
            <w:tcBorders>
              <w:top w:val="nil"/>
              <w:left w:val="nil"/>
              <w:bottom w:val="single" w:sz="4" w:space="0" w:color="auto"/>
              <w:right w:val="nil"/>
            </w:tcBorders>
            <w:shd w:val="clear" w:color="000000" w:fill="FFFFFF"/>
            <w:noWrap/>
            <w:vAlign w:val="bottom"/>
            <w:hideMark/>
          </w:tcPr>
          <w:p w14:paraId="54303E1E"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Ano 2017</w:t>
            </w:r>
          </w:p>
        </w:tc>
        <w:tc>
          <w:tcPr>
            <w:tcW w:w="1134" w:type="dxa"/>
            <w:tcBorders>
              <w:top w:val="nil"/>
              <w:left w:val="nil"/>
              <w:bottom w:val="single" w:sz="4" w:space="0" w:color="auto"/>
              <w:right w:val="nil"/>
            </w:tcBorders>
            <w:shd w:val="clear" w:color="auto" w:fill="auto"/>
            <w:noWrap/>
            <w:vAlign w:val="bottom"/>
            <w:hideMark/>
          </w:tcPr>
          <w:p w14:paraId="59CBF284"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211</w:t>
            </w:r>
          </w:p>
        </w:tc>
        <w:tc>
          <w:tcPr>
            <w:tcW w:w="992" w:type="dxa"/>
            <w:tcBorders>
              <w:top w:val="nil"/>
              <w:left w:val="nil"/>
              <w:bottom w:val="single" w:sz="4" w:space="0" w:color="auto"/>
              <w:right w:val="nil"/>
            </w:tcBorders>
            <w:shd w:val="clear" w:color="auto" w:fill="auto"/>
            <w:noWrap/>
            <w:vAlign w:val="bottom"/>
            <w:hideMark/>
          </w:tcPr>
          <w:p w14:paraId="0023A832"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100%</w:t>
            </w:r>
          </w:p>
        </w:tc>
      </w:tr>
      <w:tr w:rsidR="00503F0E" w:rsidRPr="00503F0E" w14:paraId="0F265A82" w14:textId="77777777" w:rsidTr="00C51428">
        <w:trPr>
          <w:trHeight w:val="300"/>
        </w:trPr>
        <w:tc>
          <w:tcPr>
            <w:tcW w:w="1701" w:type="dxa"/>
            <w:tcBorders>
              <w:top w:val="nil"/>
              <w:left w:val="nil"/>
              <w:bottom w:val="single" w:sz="4" w:space="0" w:color="auto"/>
              <w:right w:val="nil"/>
            </w:tcBorders>
            <w:shd w:val="clear" w:color="auto" w:fill="auto"/>
            <w:noWrap/>
            <w:vAlign w:val="bottom"/>
            <w:hideMark/>
          </w:tcPr>
          <w:p w14:paraId="35A5F2D3" w14:textId="77777777" w:rsidR="00503F0E" w:rsidRPr="00503F0E" w:rsidRDefault="00503F0E" w:rsidP="00EF0D90">
            <w:pPr>
              <w:ind w:left="-69"/>
              <w:rPr>
                <w:rFonts w:eastAsia="Times New Roman"/>
                <w:color w:val="000000"/>
                <w:sz w:val="20"/>
                <w:szCs w:val="20"/>
                <w:lang w:eastAsia="pt-BR"/>
              </w:rPr>
            </w:pPr>
            <w:r w:rsidRPr="00503F0E">
              <w:rPr>
                <w:rFonts w:eastAsia="Times New Roman"/>
                <w:color w:val="000000"/>
                <w:sz w:val="20"/>
                <w:szCs w:val="20"/>
                <w:lang w:eastAsia="pt-BR"/>
              </w:rPr>
              <w:t>Empresas de Taió</w:t>
            </w:r>
          </w:p>
        </w:tc>
        <w:tc>
          <w:tcPr>
            <w:tcW w:w="1559" w:type="dxa"/>
            <w:tcBorders>
              <w:top w:val="nil"/>
              <w:left w:val="nil"/>
              <w:bottom w:val="single" w:sz="4" w:space="0" w:color="auto"/>
              <w:right w:val="nil"/>
            </w:tcBorders>
            <w:shd w:val="clear" w:color="auto" w:fill="auto"/>
            <w:noWrap/>
            <w:vAlign w:val="bottom"/>
            <w:hideMark/>
          </w:tcPr>
          <w:p w14:paraId="3A6159CD"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121</w:t>
            </w:r>
          </w:p>
        </w:tc>
        <w:tc>
          <w:tcPr>
            <w:tcW w:w="709" w:type="dxa"/>
            <w:tcBorders>
              <w:top w:val="nil"/>
              <w:left w:val="nil"/>
              <w:bottom w:val="single" w:sz="4" w:space="0" w:color="auto"/>
              <w:right w:val="nil"/>
            </w:tcBorders>
            <w:shd w:val="clear" w:color="auto" w:fill="auto"/>
            <w:noWrap/>
            <w:vAlign w:val="bottom"/>
            <w:hideMark/>
          </w:tcPr>
          <w:p w14:paraId="43BEDC72"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42%</w:t>
            </w:r>
          </w:p>
        </w:tc>
        <w:tc>
          <w:tcPr>
            <w:tcW w:w="2126" w:type="dxa"/>
            <w:tcBorders>
              <w:top w:val="nil"/>
              <w:left w:val="nil"/>
              <w:bottom w:val="single" w:sz="4" w:space="0" w:color="auto"/>
              <w:right w:val="nil"/>
            </w:tcBorders>
            <w:shd w:val="clear" w:color="auto" w:fill="auto"/>
            <w:noWrap/>
            <w:vAlign w:val="bottom"/>
            <w:hideMark/>
          </w:tcPr>
          <w:p w14:paraId="0C1BEC7D"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Empresas de Taió</w:t>
            </w:r>
          </w:p>
        </w:tc>
        <w:tc>
          <w:tcPr>
            <w:tcW w:w="1134" w:type="dxa"/>
            <w:tcBorders>
              <w:top w:val="nil"/>
              <w:left w:val="nil"/>
              <w:bottom w:val="single" w:sz="4" w:space="0" w:color="auto"/>
              <w:right w:val="nil"/>
            </w:tcBorders>
            <w:shd w:val="clear" w:color="auto" w:fill="auto"/>
            <w:noWrap/>
            <w:vAlign w:val="bottom"/>
            <w:hideMark/>
          </w:tcPr>
          <w:p w14:paraId="264C408B"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93</w:t>
            </w:r>
          </w:p>
        </w:tc>
        <w:tc>
          <w:tcPr>
            <w:tcW w:w="992" w:type="dxa"/>
            <w:tcBorders>
              <w:top w:val="nil"/>
              <w:left w:val="nil"/>
              <w:bottom w:val="single" w:sz="4" w:space="0" w:color="auto"/>
              <w:right w:val="nil"/>
            </w:tcBorders>
            <w:shd w:val="clear" w:color="auto" w:fill="auto"/>
            <w:noWrap/>
            <w:vAlign w:val="bottom"/>
            <w:hideMark/>
          </w:tcPr>
          <w:p w14:paraId="5654D2C3"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44%</w:t>
            </w:r>
          </w:p>
        </w:tc>
      </w:tr>
      <w:tr w:rsidR="00503F0E" w:rsidRPr="00503F0E" w14:paraId="22E8E2E9" w14:textId="77777777" w:rsidTr="00C51428">
        <w:trPr>
          <w:trHeight w:val="300"/>
        </w:trPr>
        <w:tc>
          <w:tcPr>
            <w:tcW w:w="1701" w:type="dxa"/>
            <w:tcBorders>
              <w:top w:val="nil"/>
              <w:left w:val="nil"/>
              <w:bottom w:val="single" w:sz="4" w:space="0" w:color="auto"/>
              <w:right w:val="nil"/>
            </w:tcBorders>
            <w:shd w:val="clear" w:color="auto" w:fill="auto"/>
            <w:noWrap/>
            <w:vAlign w:val="bottom"/>
            <w:hideMark/>
          </w:tcPr>
          <w:p w14:paraId="4D6AF4A2" w14:textId="1218D9AC" w:rsidR="00503F0E" w:rsidRPr="00503F0E" w:rsidRDefault="00C51428" w:rsidP="00EF0D90">
            <w:pPr>
              <w:ind w:left="-69"/>
              <w:rPr>
                <w:rFonts w:eastAsia="Times New Roman"/>
                <w:color w:val="000000"/>
                <w:sz w:val="20"/>
                <w:szCs w:val="20"/>
                <w:lang w:eastAsia="pt-BR"/>
              </w:rPr>
            </w:pPr>
            <w:r>
              <w:rPr>
                <w:rFonts w:eastAsia="Times New Roman"/>
                <w:color w:val="000000"/>
                <w:sz w:val="20"/>
                <w:szCs w:val="20"/>
                <w:lang w:eastAsia="pt-BR"/>
              </w:rPr>
              <w:t xml:space="preserve">Empresas do Alto </w:t>
            </w:r>
            <w:r w:rsidR="00503F0E" w:rsidRPr="00503F0E">
              <w:rPr>
                <w:rFonts w:eastAsia="Times New Roman"/>
                <w:color w:val="000000"/>
                <w:sz w:val="20"/>
                <w:szCs w:val="20"/>
                <w:lang w:eastAsia="pt-BR"/>
              </w:rPr>
              <w:t>Vale</w:t>
            </w:r>
          </w:p>
        </w:tc>
        <w:tc>
          <w:tcPr>
            <w:tcW w:w="1559" w:type="dxa"/>
            <w:tcBorders>
              <w:top w:val="nil"/>
              <w:left w:val="nil"/>
              <w:bottom w:val="single" w:sz="4" w:space="0" w:color="auto"/>
              <w:right w:val="nil"/>
            </w:tcBorders>
            <w:shd w:val="clear" w:color="auto" w:fill="auto"/>
            <w:noWrap/>
            <w:vAlign w:val="bottom"/>
            <w:hideMark/>
          </w:tcPr>
          <w:p w14:paraId="1B37C8AA"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75</w:t>
            </w:r>
          </w:p>
        </w:tc>
        <w:tc>
          <w:tcPr>
            <w:tcW w:w="709" w:type="dxa"/>
            <w:tcBorders>
              <w:top w:val="nil"/>
              <w:left w:val="nil"/>
              <w:bottom w:val="single" w:sz="4" w:space="0" w:color="auto"/>
              <w:right w:val="nil"/>
            </w:tcBorders>
            <w:shd w:val="clear" w:color="auto" w:fill="auto"/>
            <w:noWrap/>
            <w:vAlign w:val="bottom"/>
            <w:hideMark/>
          </w:tcPr>
          <w:p w14:paraId="4619E51E"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26%</w:t>
            </w:r>
          </w:p>
        </w:tc>
        <w:tc>
          <w:tcPr>
            <w:tcW w:w="2126" w:type="dxa"/>
            <w:tcBorders>
              <w:top w:val="nil"/>
              <w:left w:val="nil"/>
              <w:bottom w:val="single" w:sz="4" w:space="0" w:color="auto"/>
              <w:right w:val="nil"/>
            </w:tcBorders>
            <w:shd w:val="clear" w:color="auto" w:fill="auto"/>
            <w:noWrap/>
            <w:vAlign w:val="bottom"/>
            <w:hideMark/>
          </w:tcPr>
          <w:p w14:paraId="6A77950D"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Empresas do Alto Vale</w:t>
            </w:r>
          </w:p>
        </w:tc>
        <w:tc>
          <w:tcPr>
            <w:tcW w:w="1134" w:type="dxa"/>
            <w:tcBorders>
              <w:top w:val="nil"/>
              <w:left w:val="nil"/>
              <w:bottom w:val="single" w:sz="4" w:space="0" w:color="auto"/>
              <w:right w:val="nil"/>
            </w:tcBorders>
            <w:shd w:val="clear" w:color="auto" w:fill="auto"/>
            <w:noWrap/>
            <w:vAlign w:val="bottom"/>
            <w:hideMark/>
          </w:tcPr>
          <w:p w14:paraId="089DF5CF"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49</w:t>
            </w:r>
          </w:p>
        </w:tc>
        <w:tc>
          <w:tcPr>
            <w:tcW w:w="992" w:type="dxa"/>
            <w:tcBorders>
              <w:top w:val="nil"/>
              <w:left w:val="nil"/>
              <w:bottom w:val="single" w:sz="4" w:space="0" w:color="auto"/>
              <w:right w:val="nil"/>
            </w:tcBorders>
            <w:shd w:val="clear" w:color="auto" w:fill="auto"/>
            <w:noWrap/>
            <w:vAlign w:val="bottom"/>
            <w:hideMark/>
          </w:tcPr>
          <w:p w14:paraId="2EEBB0C3"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23%</w:t>
            </w:r>
          </w:p>
        </w:tc>
      </w:tr>
      <w:tr w:rsidR="00503F0E" w:rsidRPr="00503F0E" w14:paraId="70311A2C" w14:textId="77777777" w:rsidTr="00C51428">
        <w:trPr>
          <w:trHeight w:val="300"/>
        </w:trPr>
        <w:tc>
          <w:tcPr>
            <w:tcW w:w="1701" w:type="dxa"/>
            <w:tcBorders>
              <w:top w:val="nil"/>
              <w:left w:val="nil"/>
              <w:bottom w:val="single" w:sz="4" w:space="0" w:color="auto"/>
              <w:right w:val="nil"/>
            </w:tcBorders>
            <w:shd w:val="clear" w:color="auto" w:fill="auto"/>
            <w:noWrap/>
            <w:vAlign w:val="bottom"/>
            <w:hideMark/>
          </w:tcPr>
          <w:p w14:paraId="5B55D5B7" w14:textId="75C0E3BB" w:rsidR="00503F0E" w:rsidRPr="00503F0E" w:rsidRDefault="00503F0E" w:rsidP="00EF0D90">
            <w:pPr>
              <w:ind w:left="-69"/>
              <w:rPr>
                <w:rFonts w:eastAsia="Times New Roman"/>
                <w:color w:val="000000"/>
                <w:sz w:val="20"/>
                <w:szCs w:val="20"/>
                <w:lang w:eastAsia="pt-BR"/>
              </w:rPr>
            </w:pPr>
            <w:r w:rsidRPr="00503F0E">
              <w:rPr>
                <w:rFonts w:eastAsia="Times New Roman"/>
                <w:color w:val="000000"/>
                <w:sz w:val="20"/>
                <w:szCs w:val="20"/>
                <w:lang w:eastAsia="pt-BR"/>
              </w:rPr>
              <w:t>Empresas de fora</w:t>
            </w:r>
          </w:p>
        </w:tc>
        <w:tc>
          <w:tcPr>
            <w:tcW w:w="1559" w:type="dxa"/>
            <w:tcBorders>
              <w:top w:val="nil"/>
              <w:left w:val="nil"/>
              <w:bottom w:val="single" w:sz="4" w:space="0" w:color="auto"/>
              <w:right w:val="nil"/>
            </w:tcBorders>
            <w:shd w:val="clear" w:color="auto" w:fill="auto"/>
            <w:noWrap/>
            <w:vAlign w:val="bottom"/>
            <w:hideMark/>
          </w:tcPr>
          <w:p w14:paraId="06F4BBDB"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89</w:t>
            </w:r>
          </w:p>
        </w:tc>
        <w:tc>
          <w:tcPr>
            <w:tcW w:w="709" w:type="dxa"/>
            <w:tcBorders>
              <w:top w:val="nil"/>
              <w:left w:val="nil"/>
              <w:bottom w:val="single" w:sz="4" w:space="0" w:color="auto"/>
              <w:right w:val="nil"/>
            </w:tcBorders>
            <w:shd w:val="clear" w:color="auto" w:fill="auto"/>
            <w:noWrap/>
            <w:vAlign w:val="bottom"/>
            <w:hideMark/>
          </w:tcPr>
          <w:p w14:paraId="75D76306"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31%</w:t>
            </w:r>
          </w:p>
        </w:tc>
        <w:tc>
          <w:tcPr>
            <w:tcW w:w="2126" w:type="dxa"/>
            <w:tcBorders>
              <w:top w:val="nil"/>
              <w:left w:val="nil"/>
              <w:bottom w:val="single" w:sz="4" w:space="0" w:color="auto"/>
              <w:right w:val="nil"/>
            </w:tcBorders>
            <w:shd w:val="clear" w:color="auto" w:fill="auto"/>
            <w:noWrap/>
            <w:vAlign w:val="bottom"/>
            <w:hideMark/>
          </w:tcPr>
          <w:p w14:paraId="62FECC4C"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 xml:space="preserve"> Empresas de fora</w:t>
            </w:r>
          </w:p>
        </w:tc>
        <w:tc>
          <w:tcPr>
            <w:tcW w:w="1134" w:type="dxa"/>
            <w:tcBorders>
              <w:top w:val="nil"/>
              <w:left w:val="nil"/>
              <w:bottom w:val="single" w:sz="4" w:space="0" w:color="auto"/>
              <w:right w:val="nil"/>
            </w:tcBorders>
            <w:shd w:val="clear" w:color="auto" w:fill="auto"/>
            <w:noWrap/>
            <w:vAlign w:val="bottom"/>
            <w:hideMark/>
          </w:tcPr>
          <w:p w14:paraId="63F067D5"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69</w:t>
            </w:r>
          </w:p>
        </w:tc>
        <w:tc>
          <w:tcPr>
            <w:tcW w:w="992" w:type="dxa"/>
            <w:tcBorders>
              <w:top w:val="nil"/>
              <w:left w:val="nil"/>
              <w:bottom w:val="single" w:sz="4" w:space="0" w:color="auto"/>
              <w:right w:val="nil"/>
            </w:tcBorders>
            <w:shd w:val="clear" w:color="auto" w:fill="auto"/>
            <w:noWrap/>
            <w:vAlign w:val="bottom"/>
            <w:hideMark/>
          </w:tcPr>
          <w:p w14:paraId="18CC499F" w14:textId="77777777" w:rsidR="00503F0E" w:rsidRPr="00503F0E" w:rsidRDefault="00503F0E" w:rsidP="00503F0E">
            <w:pPr>
              <w:jc w:val="center"/>
              <w:rPr>
                <w:rFonts w:eastAsia="Times New Roman"/>
                <w:color w:val="000000"/>
                <w:sz w:val="20"/>
                <w:szCs w:val="20"/>
                <w:lang w:eastAsia="pt-BR"/>
              </w:rPr>
            </w:pPr>
            <w:r w:rsidRPr="00503F0E">
              <w:rPr>
                <w:rFonts w:eastAsia="Times New Roman"/>
                <w:color w:val="000000"/>
                <w:sz w:val="20"/>
                <w:szCs w:val="20"/>
                <w:lang w:eastAsia="pt-BR"/>
              </w:rPr>
              <w:t>33%</w:t>
            </w:r>
          </w:p>
        </w:tc>
      </w:tr>
    </w:tbl>
    <w:p w14:paraId="01F73A2A" w14:textId="13284A1A" w:rsidR="00503F0E" w:rsidRDefault="00C51428" w:rsidP="00C51428">
      <w:pPr>
        <w:spacing w:after="160" w:line="259" w:lineRule="auto"/>
        <w:ind w:left="284"/>
        <w:rPr>
          <w:sz w:val="20"/>
          <w:szCs w:val="20"/>
        </w:rPr>
      </w:pPr>
      <w:r>
        <w:rPr>
          <w:sz w:val="20"/>
          <w:szCs w:val="20"/>
        </w:rPr>
        <w:t>Fonte: Dados da pesquisa (2021)</w:t>
      </w:r>
    </w:p>
    <w:p w14:paraId="2909F8B9" w14:textId="77777777" w:rsidR="00400DD6" w:rsidRDefault="00400DD6">
      <w:pPr>
        <w:spacing w:after="160" w:line="259" w:lineRule="auto"/>
        <w:rPr>
          <w:sz w:val="20"/>
          <w:szCs w:val="20"/>
        </w:rPr>
      </w:pPr>
    </w:p>
    <w:p w14:paraId="4EC93BFC" w14:textId="67F00C83" w:rsidR="00130FD6" w:rsidRDefault="00400DD6" w:rsidP="00400DD6">
      <w:pPr>
        <w:pStyle w:val="UnidaviTexto-Espao15"/>
      </w:pPr>
      <w:r>
        <w:lastRenderedPageBreak/>
        <w:t xml:space="preserve">Identificou-se que das 285 participações </w:t>
      </w:r>
      <w:r w:rsidR="00460C41">
        <w:t xml:space="preserve">de empresas </w:t>
      </w:r>
      <w:r>
        <w:t xml:space="preserve">no ano de 2017, tiveram 211 </w:t>
      </w:r>
      <w:r w:rsidR="00991799">
        <w:t xml:space="preserve">participações </w:t>
      </w:r>
      <w:r>
        <w:t xml:space="preserve">que foram vencedoras no processo licitatório do município. </w:t>
      </w:r>
    </w:p>
    <w:p w14:paraId="7F1CF998" w14:textId="77777777" w:rsidR="00C51428" w:rsidRDefault="00C51428" w:rsidP="00400DD6">
      <w:pPr>
        <w:pStyle w:val="UnidaviTexto-Espao15"/>
      </w:pPr>
    </w:p>
    <w:p w14:paraId="107A9CBC" w14:textId="146D886A" w:rsidR="00400DD6" w:rsidRPr="00C51428" w:rsidRDefault="00C51428" w:rsidP="00C51428">
      <w:pPr>
        <w:pStyle w:val="UnidaviTexto-Espao15"/>
        <w:spacing w:line="240" w:lineRule="auto"/>
        <w:ind w:left="284" w:firstLine="0"/>
        <w:contextualSpacing/>
        <w:rPr>
          <w:b/>
          <w:sz w:val="20"/>
        </w:rPr>
      </w:pPr>
      <w:r w:rsidRPr="007F2776">
        <w:rPr>
          <w:b/>
          <w:sz w:val="20"/>
        </w:rPr>
        <w:t>Gr</w:t>
      </w:r>
      <w:r>
        <w:rPr>
          <w:b/>
          <w:sz w:val="20"/>
        </w:rPr>
        <w:t>áfico 4</w:t>
      </w:r>
      <w:r w:rsidRPr="007F2776">
        <w:rPr>
          <w:b/>
          <w:sz w:val="20"/>
        </w:rPr>
        <w:t xml:space="preserve"> – </w:t>
      </w:r>
      <w:r>
        <w:rPr>
          <w:b/>
          <w:sz w:val="20"/>
        </w:rPr>
        <w:t>Quantidade de participações vencedoras por região no ano 2017</w:t>
      </w:r>
    </w:p>
    <w:p w14:paraId="012CB9E0" w14:textId="6F85982E" w:rsidR="00400DD6" w:rsidRDefault="00E804A3" w:rsidP="004F5C7C">
      <w:pPr>
        <w:pStyle w:val="UnidaviTexto-Espao15"/>
        <w:spacing w:line="240" w:lineRule="auto"/>
        <w:ind w:left="284" w:right="284" w:firstLine="0"/>
        <w:contextualSpacing/>
      </w:pPr>
      <w:r>
        <w:rPr>
          <w:noProof/>
        </w:rPr>
        <w:drawing>
          <wp:inline distT="0" distB="0" distL="0" distR="0" wp14:anchorId="732C042F" wp14:editId="072BF0FA">
            <wp:extent cx="5200650" cy="3299460"/>
            <wp:effectExtent l="0" t="0" r="0" b="1524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F0E650" w14:textId="321D0324" w:rsidR="00E804A3" w:rsidRPr="001E0F72" w:rsidRDefault="00C51428" w:rsidP="00C51428">
      <w:pPr>
        <w:pStyle w:val="UnidaviTexto-Espao15"/>
        <w:spacing w:line="240" w:lineRule="auto"/>
        <w:ind w:left="284" w:firstLine="0"/>
        <w:contextualSpacing/>
        <w:rPr>
          <w:sz w:val="20"/>
        </w:rPr>
      </w:pPr>
      <w:r>
        <w:rPr>
          <w:sz w:val="20"/>
        </w:rPr>
        <w:t>Fonte: Dados da pesquisa (2021)</w:t>
      </w:r>
    </w:p>
    <w:p w14:paraId="29264F1A" w14:textId="09981057" w:rsidR="00130FD6" w:rsidRDefault="00130FD6" w:rsidP="00916ED5">
      <w:pPr>
        <w:spacing w:after="160" w:line="360" w:lineRule="auto"/>
        <w:rPr>
          <w:sz w:val="20"/>
          <w:szCs w:val="20"/>
        </w:rPr>
      </w:pPr>
    </w:p>
    <w:p w14:paraId="5752D304" w14:textId="2062F9E2" w:rsidR="00725279" w:rsidRDefault="00E804A3" w:rsidP="00C55881">
      <w:pPr>
        <w:pStyle w:val="UnidaviTexto-Espao15"/>
      </w:pPr>
      <w:r>
        <w:t xml:space="preserve">Pode-se observar </w:t>
      </w:r>
      <w:r w:rsidR="008646AA">
        <w:t xml:space="preserve">no Gráfico 4 </w:t>
      </w:r>
      <w:r>
        <w:t xml:space="preserve">que a maioria das participações vencedoras no ano de 2017, </w:t>
      </w:r>
      <w:r w:rsidR="00894134">
        <w:t>foram</w:t>
      </w:r>
      <w:r>
        <w:t xml:space="preserve"> de empresas do município de Taió</w:t>
      </w:r>
      <w:r w:rsidR="00714D80">
        <w:t>, que representou 93 das 211 participações,</w:t>
      </w:r>
      <w:r w:rsidR="00894134">
        <w:t xml:space="preserve"> indicando que 44% do valor licitado do ano 2017, retornou ao município através das empresas vencedoras. Em seguida ficaram as</w:t>
      </w:r>
      <w:r w:rsidR="00714D80">
        <w:t xml:space="preserve"> participações de empresas de fora do Alto Vale do Itajaí com 69 e 49 participações de empresas do Alto Vale do Itajaí exceto Taió.</w:t>
      </w:r>
    </w:p>
    <w:p w14:paraId="4C887FA0" w14:textId="77777777" w:rsidR="00C55881" w:rsidRPr="00714D80" w:rsidRDefault="00C55881" w:rsidP="00C55881">
      <w:pPr>
        <w:pStyle w:val="UnidaviTexto-Espao15"/>
      </w:pPr>
    </w:p>
    <w:p w14:paraId="4581DE3A" w14:textId="70C273CE" w:rsidR="00130FD6" w:rsidRPr="00C51428" w:rsidRDefault="008646AA" w:rsidP="00C51428">
      <w:pPr>
        <w:ind w:left="284"/>
        <w:rPr>
          <w:b/>
          <w:sz w:val="20"/>
          <w:szCs w:val="20"/>
        </w:rPr>
      </w:pPr>
      <w:r>
        <w:rPr>
          <w:b/>
          <w:sz w:val="20"/>
          <w:szCs w:val="20"/>
        </w:rPr>
        <w:t xml:space="preserve">Tabela </w:t>
      </w:r>
      <w:r w:rsidR="00130FD6" w:rsidRPr="00C51428">
        <w:rPr>
          <w:b/>
          <w:sz w:val="20"/>
          <w:szCs w:val="20"/>
        </w:rPr>
        <w:t>4 – Valor das empresas vencedoras no ano 2017</w:t>
      </w:r>
    </w:p>
    <w:tbl>
      <w:tblPr>
        <w:tblW w:w="8221" w:type="dxa"/>
        <w:tblInd w:w="284" w:type="dxa"/>
        <w:tblCellMar>
          <w:left w:w="70" w:type="dxa"/>
          <w:right w:w="70" w:type="dxa"/>
        </w:tblCellMar>
        <w:tblLook w:val="04A0" w:firstRow="1" w:lastRow="0" w:firstColumn="1" w:lastColumn="0" w:noHBand="0" w:noVBand="1"/>
      </w:tblPr>
      <w:tblGrid>
        <w:gridCol w:w="2551"/>
        <w:gridCol w:w="1843"/>
        <w:gridCol w:w="1701"/>
        <w:gridCol w:w="2126"/>
      </w:tblGrid>
      <w:tr w:rsidR="00130FD6" w:rsidRPr="00130FD6" w14:paraId="02210473" w14:textId="77777777" w:rsidTr="00C51428">
        <w:trPr>
          <w:trHeight w:val="300"/>
        </w:trPr>
        <w:tc>
          <w:tcPr>
            <w:tcW w:w="2551" w:type="dxa"/>
            <w:tcBorders>
              <w:top w:val="single" w:sz="4" w:space="0" w:color="auto"/>
              <w:left w:val="nil"/>
              <w:bottom w:val="single" w:sz="4" w:space="0" w:color="auto"/>
              <w:right w:val="nil"/>
            </w:tcBorders>
            <w:shd w:val="clear" w:color="000000" w:fill="FFFFFF"/>
            <w:noWrap/>
            <w:vAlign w:val="bottom"/>
            <w:hideMark/>
          </w:tcPr>
          <w:p w14:paraId="49850683" w14:textId="77777777" w:rsidR="00130FD6" w:rsidRPr="00130FD6" w:rsidRDefault="00130FD6" w:rsidP="00D14FEE">
            <w:pPr>
              <w:ind w:left="-69"/>
              <w:rPr>
                <w:rFonts w:eastAsia="Times New Roman"/>
                <w:b/>
                <w:bCs/>
                <w:color w:val="000000"/>
                <w:sz w:val="20"/>
                <w:szCs w:val="20"/>
                <w:lang w:eastAsia="pt-BR"/>
              </w:rPr>
            </w:pPr>
            <w:r w:rsidRPr="00130FD6">
              <w:rPr>
                <w:rFonts w:eastAsia="Times New Roman"/>
                <w:b/>
                <w:bCs/>
                <w:color w:val="000000"/>
                <w:sz w:val="20"/>
                <w:szCs w:val="20"/>
                <w:lang w:eastAsia="pt-BR"/>
              </w:rPr>
              <w:t>Vencedores</w:t>
            </w:r>
          </w:p>
        </w:tc>
        <w:tc>
          <w:tcPr>
            <w:tcW w:w="1843" w:type="dxa"/>
            <w:tcBorders>
              <w:top w:val="single" w:sz="4" w:space="0" w:color="auto"/>
              <w:left w:val="nil"/>
              <w:bottom w:val="single" w:sz="4" w:space="0" w:color="auto"/>
              <w:right w:val="nil"/>
            </w:tcBorders>
            <w:shd w:val="clear" w:color="000000" w:fill="FFFFFF"/>
            <w:noWrap/>
            <w:vAlign w:val="bottom"/>
            <w:hideMark/>
          </w:tcPr>
          <w:p w14:paraId="0F57A131" w14:textId="77777777" w:rsidR="00130FD6" w:rsidRPr="00130FD6" w:rsidRDefault="00130FD6" w:rsidP="00130FD6">
            <w:pPr>
              <w:jc w:val="center"/>
              <w:rPr>
                <w:rFonts w:eastAsia="Times New Roman"/>
                <w:b/>
                <w:bCs/>
                <w:color w:val="000000"/>
                <w:sz w:val="20"/>
                <w:szCs w:val="20"/>
                <w:lang w:eastAsia="pt-BR"/>
              </w:rPr>
            </w:pPr>
            <w:r w:rsidRPr="00130FD6">
              <w:rPr>
                <w:rFonts w:eastAsia="Times New Roman"/>
                <w:b/>
                <w:bCs/>
                <w:color w:val="000000"/>
                <w:sz w:val="20"/>
                <w:szCs w:val="20"/>
                <w:lang w:eastAsia="pt-BR"/>
              </w:rPr>
              <w:t>Total de empresas</w:t>
            </w:r>
          </w:p>
        </w:tc>
        <w:tc>
          <w:tcPr>
            <w:tcW w:w="1701" w:type="dxa"/>
            <w:tcBorders>
              <w:top w:val="single" w:sz="4" w:space="0" w:color="auto"/>
              <w:left w:val="nil"/>
              <w:bottom w:val="single" w:sz="4" w:space="0" w:color="auto"/>
              <w:right w:val="nil"/>
            </w:tcBorders>
            <w:shd w:val="clear" w:color="auto" w:fill="auto"/>
            <w:noWrap/>
            <w:vAlign w:val="bottom"/>
            <w:hideMark/>
          </w:tcPr>
          <w:p w14:paraId="2FCF80DC" w14:textId="77777777" w:rsidR="00130FD6" w:rsidRPr="00130FD6" w:rsidRDefault="00130FD6" w:rsidP="00130FD6">
            <w:pPr>
              <w:jc w:val="center"/>
              <w:rPr>
                <w:rFonts w:eastAsia="Times New Roman"/>
                <w:b/>
                <w:bCs/>
                <w:color w:val="000000"/>
                <w:sz w:val="20"/>
                <w:szCs w:val="20"/>
                <w:lang w:eastAsia="pt-BR"/>
              </w:rPr>
            </w:pPr>
            <w:r w:rsidRPr="00130FD6">
              <w:rPr>
                <w:rFonts w:eastAsia="Times New Roman"/>
                <w:b/>
                <w:bCs/>
                <w:color w:val="000000"/>
                <w:sz w:val="20"/>
                <w:szCs w:val="20"/>
                <w:lang w:eastAsia="pt-BR"/>
              </w:rPr>
              <w:t>Total empresas</w:t>
            </w:r>
          </w:p>
        </w:tc>
        <w:tc>
          <w:tcPr>
            <w:tcW w:w="2126" w:type="dxa"/>
            <w:tcBorders>
              <w:top w:val="single" w:sz="4" w:space="0" w:color="auto"/>
              <w:left w:val="nil"/>
              <w:bottom w:val="single" w:sz="4" w:space="0" w:color="auto"/>
              <w:right w:val="nil"/>
            </w:tcBorders>
            <w:shd w:val="clear" w:color="auto" w:fill="auto"/>
            <w:noWrap/>
            <w:vAlign w:val="bottom"/>
            <w:hideMark/>
          </w:tcPr>
          <w:p w14:paraId="468F4A45" w14:textId="77777777" w:rsidR="00130FD6" w:rsidRPr="00130FD6" w:rsidRDefault="00130FD6" w:rsidP="00130FD6">
            <w:pPr>
              <w:jc w:val="center"/>
              <w:rPr>
                <w:rFonts w:eastAsia="Times New Roman"/>
                <w:b/>
                <w:bCs/>
                <w:color w:val="000000"/>
                <w:sz w:val="20"/>
                <w:szCs w:val="20"/>
                <w:lang w:eastAsia="pt-BR"/>
              </w:rPr>
            </w:pPr>
            <w:r w:rsidRPr="00130FD6">
              <w:rPr>
                <w:rFonts w:eastAsia="Times New Roman"/>
                <w:b/>
                <w:bCs/>
                <w:color w:val="000000"/>
                <w:sz w:val="20"/>
                <w:szCs w:val="20"/>
                <w:lang w:eastAsia="pt-BR"/>
              </w:rPr>
              <w:t>%</w:t>
            </w:r>
          </w:p>
        </w:tc>
      </w:tr>
      <w:tr w:rsidR="00130FD6" w:rsidRPr="00130FD6" w14:paraId="0AEB2105" w14:textId="77777777" w:rsidTr="00C51428">
        <w:trPr>
          <w:trHeight w:val="300"/>
        </w:trPr>
        <w:tc>
          <w:tcPr>
            <w:tcW w:w="2551" w:type="dxa"/>
            <w:tcBorders>
              <w:top w:val="nil"/>
              <w:left w:val="nil"/>
              <w:bottom w:val="single" w:sz="4" w:space="0" w:color="auto"/>
              <w:right w:val="nil"/>
            </w:tcBorders>
            <w:shd w:val="clear" w:color="000000" w:fill="FFFFFF"/>
            <w:noWrap/>
            <w:vAlign w:val="bottom"/>
            <w:hideMark/>
          </w:tcPr>
          <w:p w14:paraId="47B458EA" w14:textId="77777777" w:rsidR="00130FD6" w:rsidRPr="00130FD6" w:rsidRDefault="00130FD6" w:rsidP="00D14FEE">
            <w:pPr>
              <w:ind w:left="-69"/>
              <w:rPr>
                <w:rFonts w:eastAsia="Times New Roman"/>
                <w:color w:val="000000"/>
                <w:sz w:val="20"/>
                <w:szCs w:val="20"/>
                <w:lang w:eastAsia="pt-BR"/>
              </w:rPr>
            </w:pPr>
            <w:r w:rsidRPr="00130FD6">
              <w:rPr>
                <w:rFonts w:eastAsia="Times New Roman"/>
                <w:color w:val="000000"/>
                <w:sz w:val="20"/>
                <w:szCs w:val="20"/>
                <w:lang w:eastAsia="pt-BR"/>
              </w:rPr>
              <w:t>Ano 2017</w:t>
            </w:r>
          </w:p>
        </w:tc>
        <w:tc>
          <w:tcPr>
            <w:tcW w:w="1843" w:type="dxa"/>
            <w:tcBorders>
              <w:top w:val="nil"/>
              <w:left w:val="nil"/>
              <w:bottom w:val="single" w:sz="4" w:space="0" w:color="auto"/>
              <w:right w:val="nil"/>
            </w:tcBorders>
            <w:shd w:val="clear" w:color="000000" w:fill="FFFFFF"/>
            <w:noWrap/>
            <w:vAlign w:val="bottom"/>
            <w:hideMark/>
          </w:tcPr>
          <w:p w14:paraId="6CC3D822" w14:textId="77777777" w:rsidR="00130FD6" w:rsidRPr="00130FD6" w:rsidRDefault="00130FD6" w:rsidP="00130FD6">
            <w:pPr>
              <w:jc w:val="center"/>
              <w:rPr>
                <w:rFonts w:eastAsia="Times New Roman"/>
                <w:color w:val="000000"/>
                <w:sz w:val="20"/>
                <w:szCs w:val="20"/>
                <w:lang w:eastAsia="pt-BR"/>
              </w:rPr>
            </w:pPr>
            <w:r w:rsidRPr="00130FD6">
              <w:rPr>
                <w:rFonts w:eastAsia="Times New Roman"/>
                <w:color w:val="000000"/>
                <w:sz w:val="20"/>
                <w:szCs w:val="20"/>
                <w:lang w:eastAsia="pt-BR"/>
              </w:rPr>
              <w:t>211</w:t>
            </w:r>
          </w:p>
        </w:tc>
        <w:tc>
          <w:tcPr>
            <w:tcW w:w="1701" w:type="dxa"/>
            <w:tcBorders>
              <w:top w:val="nil"/>
              <w:left w:val="nil"/>
              <w:bottom w:val="single" w:sz="4" w:space="0" w:color="auto"/>
              <w:right w:val="nil"/>
            </w:tcBorders>
            <w:shd w:val="clear" w:color="auto" w:fill="auto"/>
            <w:noWrap/>
            <w:vAlign w:val="bottom"/>
            <w:hideMark/>
          </w:tcPr>
          <w:p w14:paraId="30477A00" w14:textId="77777777" w:rsidR="00130FD6" w:rsidRPr="00130FD6" w:rsidRDefault="00130FD6" w:rsidP="00130FD6">
            <w:pPr>
              <w:jc w:val="center"/>
              <w:rPr>
                <w:rFonts w:eastAsia="Times New Roman"/>
                <w:color w:val="000000"/>
                <w:sz w:val="20"/>
                <w:szCs w:val="20"/>
                <w:lang w:eastAsia="pt-BR"/>
              </w:rPr>
            </w:pPr>
            <w:r w:rsidRPr="00130FD6">
              <w:rPr>
                <w:rFonts w:eastAsia="Times New Roman"/>
                <w:color w:val="000000"/>
                <w:sz w:val="20"/>
                <w:szCs w:val="20"/>
                <w:lang w:eastAsia="pt-BR"/>
              </w:rPr>
              <w:t>11.702.228,08</w:t>
            </w:r>
          </w:p>
        </w:tc>
        <w:tc>
          <w:tcPr>
            <w:tcW w:w="2126" w:type="dxa"/>
            <w:tcBorders>
              <w:top w:val="nil"/>
              <w:left w:val="nil"/>
              <w:bottom w:val="single" w:sz="4" w:space="0" w:color="auto"/>
              <w:right w:val="nil"/>
            </w:tcBorders>
            <w:shd w:val="clear" w:color="auto" w:fill="auto"/>
            <w:noWrap/>
            <w:vAlign w:val="bottom"/>
            <w:hideMark/>
          </w:tcPr>
          <w:p w14:paraId="41203056" w14:textId="77777777" w:rsidR="00130FD6" w:rsidRPr="00130FD6" w:rsidRDefault="00130FD6" w:rsidP="00130FD6">
            <w:pPr>
              <w:jc w:val="center"/>
              <w:rPr>
                <w:rFonts w:eastAsia="Times New Roman"/>
                <w:color w:val="000000"/>
                <w:sz w:val="20"/>
                <w:szCs w:val="20"/>
                <w:lang w:eastAsia="pt-BR"/>
              </w:rPr>
            </w:pPr>
            <w:r w:rsidRPr="00130FD6">
              <w:rPr>
                <w:rFonts w:eastAsia="Times New Roman"/>
                <w:color w:val="000000"/>
                <w:sz w:val="20"/>
                <w:szCs w:val="20"/>
                <w:lang w:eastAsia="pt-BR"/>
              </w:rPr>
              <w:t>100%</w:t>
            </w:r>
          </w:p>
        </w:tc>
      </w:tr>
      <w:tr w:rsidR="00130FD6" w:rsidRPr="00130FD6" w14:paraId="1F260983" w14:textId="77777777" w:rsidTr="00C51428">
        <w:trPr>
          <w:trHeight w:val="300"/>
        </w:trPr>
        <w:tc>
          <w:tcPr>
            <w:tcW w:w="2551" w:type="dxa"/>
            <w:tcBorders>
              <w:top w:val="nil"/>
              <w:left w:val="nil"/>
              <w:bottom w:val="single" w:sz="4" w:space="0" w:color="auto"/>
              <w:right w:val="nil"/>
            </w:tcBorders>
            <w:shd w:val="clear" w:color="000000" w:fill="FFFFFF"/>
            <w:noWrap/>
            <w:vAlign w:val="bottom"/>
            <w:hideMark/>
          </w:tcPr>
          <w:p w14:paraId="795E851E" w14:textId="77777777" w:rsidR="00130FD6" w:rsidRPr="00130FD6" w:rsidRDefault="00130FD6" w:rsidP="00D14FEE">
            <w:pPr>
              <w:ind w:left="-69"/>
              <w:rPr>
                <w:rFonts w:eastAsia="Times New Roman"/>
                <w:color w:val="000000"/>
                <w:sz w:val="20"/>
                <w:szCs w:val="20"/>
                <w:lang w:eastAsia="pt-BR"/>
              </w:rPr>
            </w:pPr>
            <w:r w:rsidRPr="00130FD6">
              <w:rPr>
                <w:rFonts w:eastAsia="Times New Roman"/>
                <w:color w:val="000000"/>
                <w:sz w:val="20"/>
                <w:szCs w:val="20"/>
                <w:lang w:eastAsia="pt-BR"/>
              </w:rPr>
              <w:t>Valor Empresas de Taió</w:t>
            </w:r>
          </w:p>
        </w:tc>
        <w:tc>
          <w:tcPr>
            <w:tcW w:w="1843" w:type="dxa"/>
            <w:tcBorders>
              <w:top w:val="nil"/>
              <w:left w:val="nil"/>
              <w:bottom w:val="single" w:sz="4" w:space="0" w:color="auto"/>
              <w:right w:val="nil"/>
            </w:tcBorders>
            <w:shd w:val="clear" w:color="000000" w:fill="FFFFFF"/>
            <w:noWrap/>
            <w:vAlign w:val="bottom"/>
            <w:hideMark/>
          </w:tcPr>
          <w:p w14:paraId="3A25DAF7" w14:textId="77777777" w:rsidR="00130FD6" w:rsidRPr="00130FD6" w:rsidRDefault="00130FD6" w:rsidP="00130FD6">
            <w:pPr>
              <w:jc w:val="center"/>
              <w:rPr>
                <w:rFonts w:eastAsia="Times New Roman"/>
                <w:color w:val="000000"/>
                <w:sz w:val="20"/>
                <w:szCs w:val="20"/>
                <w:lang w:eastAsia="pt-BR"/>
              </w:rPr>
            </w:pPr>
            <w:r w:rsidRPr="00130FD6">
              <w:rPr>
                <w:rFonts w:eastAsia="Times New Roman"/>
                <w:color w:val="000000"/>
                <w:sz w:val="20"/>
                <w:szCs w:val="20"/>
                <w:lang w:eastAsia="pt-BR"/>
              </w:rPr>
              <w:t>93</w:t>
            </w:r>
          </w:p>
        </w:tc>
        <w:tc>
          <w:tcPr>
            <w:tcW w:w="1701" w:type="dxa"/>
            <w:tcBorders>
              <w:top w:val="nil"/>
              <w:left w:val="nil"/>
              <w:bottom w:val="single" w:sz="4" w:space="0" w:color="auto"/>
              <w:right w:val="nil"/>
            </w:tcBorders>
            <w:shd w:val="clear" w:color="000000" w:fill="FFFFFF"/>
            <w:noWrap/>
            <w:vAlign w:val="bottom"/>
            <w:hideMark/>
          </w:tcPr>
          <w:p w14:paraId="594E145D" w14:textId="77777777" w:rsidR="00130FD6" w:rsidRPr="00130FD6" w:rsidRDefault="00130FD6" w:rsidP="00130FD6">
            <w:pPr>
              <w:jc w:val="center"/>
              <w:rPr>
                <w:rFonts w:eastAsia="Times New Roman"/>
                <w:color w:val="000000"/>
                <w:sz w:val="20"/>
                <w:szCs w:val="20"/>
                <w:lang w:eastAsia="pt-BR"/>
              </w:rPr>
            </w:pPr>
            <w:r w:rsidRPr="00130FD6">
              <w:rPr>
                <w:rFonts w:eastAsia="Times New Roman"/>
                <w:color w:val="000000"/>
                <w:sz w:val="20"/>
                <w:szCs w:val="20"/>
                <w:lang w:eastAsia="pt-BR"/>
              </w:rPr>
              <w:t>4.041.684,17</w:t>
            </w:r>
          </w:p>
        </w:tc>
        <w:tc>
          <w:tcPr>
            <w:tcW w:w="2126" w:type="dxa"/>
            <w:tcBorders>
              <w:top w:val="nil"/>
              <w:left w:val="nil"/>
              <w:bottom w:val="single" w:sz="4" w:space="0" w:color="auto"/>
              <w:right w:val="nil"/>
            </w:tcBorders>
            <w:shd w:val="clear" w:color="000000" w:fill="FFFFFF"/>
            <w:noWrap/>
            <w:vAlign w:val="bottom"/>
            <w:hideMark/>
          </w:tcPr>
          <w:p w14:paraId="23701D70" w14:textId="77777777" w:rsidR="00130FD6" w:rsidRPr="00130FD6" w:rsidRDefault="00130FD6" w:rsidP="00130FD6">
            <w:pPr>
              <w:jc w:val="center"/>
              <w:rPr>
                <w:rFonts w:eastAsia="Times New Roman"/>
                <w:color w:val="000000"/>
                <w:sz w:val="20"/>
                <w:szCs w:val="20"/>
                <w:lang w:eastAsia="pt-BR"/>
              </w:rPr>
            </w:pPr>
            <w:r w:rsidRPr="00130FD6">
              <w:rPr>
                <w:rFonts w:eastAsia="Times New Roman"/>
                <w:color w:val="000000"/>
                <w:sz w:val="20"/>
                <w:szCs w:val="20"/>
                <w:lang w:eastAsia="pt-BR"/>
              </w:rPr>
              <w:t>35%</w:t>
            </w:r>
          </w:p>
        </w:tc>
      </w:tr>
      <w:tr w:rsidR="00130FD6" w:rsidRPr="00130FD6" w14:paraId="3310BD76" w14:textId="77777777" w:rsidTr="00C51428">
        <w:trPr>
          <w:trHeight w:val="300"/>
        </w:trPr>
        <w:tc>
          <w:tcPr>
            <w:tcW w:w="2551" w:type="dxa"/>
            <w:tcBorders>
              <w:top w:val="nil"/>
              <w:left w:val="nil"/>
              <w:bottom w:val="single" w:sz="4" w:space="0" w:color="auto"/>
              <w:right w:val="nil"/>
            </w:tcBorders>
            <w:shd w:val="clear" w:color="000000" w:fill="FFFFFF"/>
            <w:noWrap/>
            <w:vAlign w:val="bottom"/>
            <w:hideMark/>
          </w:tcPr>
          <w:p w14:paraId="1147A66F" w14:textId="77777777" w:rsidR="00130FD6" w:rsidRPr="00130FD6" w:rsidRDefault="00130FD6" w:rsidP="00D14FEE">
            <w:pPr>
              <w:ind w:left="-69"/>
              <w:rPr>
                <w:rFonts w:eastAsia="Times New Roman"/>
                <w:color w:val="000000"/>
                <w:sz w:val="20"/>
                <w:szCs w:val="20"/>
                <w:lang w:eastAsia="pt-BR"/>
              </w:rPr>
            </w:pPr>
            <w:r w:rsidRPr="00130FD6">
              <w:rPr>
                <w:rFonts w:eastAsia="Times New Roman"/>
                <w:color w:val="000000"/>
                <w:sz w:val="20"/>
                <w:szCs w:val="20"/>
                <w:lang w:eastAsia="pt-BR"/>
              </w:rPr>
              <w:t>Valor Empresas do Alto Vale</w:t>
            </w:r>
          </w:p>
        </w:tc>
        <w:tc>
          <w:tcPr>
            <w:tcW w:w="1843" w:type="dxa"/>
            <w:tcBorders>
              <w:top w:val="nil"/>
              <w:left w:val="nil"/>
              <w:bottom w:val="single" w:sz="4" w:space="0" w:color="auto"/>
              <w:right w:val="nil"/>
            </w:tcBorders>
            <w:shd w:val="clear" w:color="000000" w:fill="FFFFFF"/>
            <w:noWrap/>
            <w:vAlign w:val="bottom"/>
            <w:hideMark/>
          </w:tcPr>
          <w:p w14:paraId="04C89A83" w14:textId="77777777" w:rsidR="00130FD6" w:rsidRPr="00130FD6" w:rsidRDefault="00130FD6" w:rsidP="00130FD6">
            <w:pPr>
              <w:jc w:val="center"/>
              <w:rPr>
                <w:rFonts w:eastAsia="Times New Roman"/>
                <w:color w:val="000000"/>
                <w:sz w:val="20"/>
                <w:szCs w:val="20"/>
                <w:lang w:eastAsia="pt-BR"/>
              </w:rPr>
            </w:pPr>
            <w:r w:rsidRPr="00130FD6">
              <w:rPr>
                <w:rFonts w:eastAsia="Times New Roman"/>
                <w:color w:val="000000"/>
                <w:sz w:val="20"/>
                <w:szCs w:val="20"/>
                <w:lang w:eastAsia="pt-BR"/>
              </w:rPr>
              <w:t>49</w:t>
            </w:r>
          </w:p>
        </w:tc>
        <w:tc>
          <w:tcPr>
            <w:tcW w:w="1701" w:type="dxa"/>
            <w:tcBorders>
              <w:top w:val="nil"/>
              <w:left w:val="nil"/>
              <w:bottom w:val="single" w:sz="4" w:space="0" w:color="auto"/>
              <w:right w:val="nil"/>
            </w:tcBorders>
            <w:shd w:val="clear" w:color="000000" w:fill="FFFFFF"/>
            <w:noWrap/>
            <w:vAlign w:val="bottom"/>
            <w:hideMark/>
          </w:tcPr>
          <w:p w14:paraId="1EDC512F" w14:textId="77777777" w:rsidR="00130FD6" w:rsidRPr="00130FD6" w:rsidRDefault="00130FD6" w:rsidP="00130FD6">
            <w:pPr>
              <w:jc w:val="center"/>
              <w:rPr>
                <w:rFonts w:eastAsia="Times New Roman"/>
                <w:color w:val="000000"/>
                <w:sz w:val="20"/>
                <w:szCs w:val="20"/>
                <w:lang w:eastAsia="pt-BR"/>
              </w:rPr>
            </w:pPr>
            <w:r w:rsidRPr="00130FD6">
              <w:rPr>
                <w:rFonts w:eastAsia="Times New Roman"/>
                <w:color w:val="000000"/>
                <w:sz w:val="20"/>
                <w:szCs w:val="20"/>
                <w:lang w:eastAsia="pt-BR"/>
              </w:rPr>
              <w:t>3.670.227,55</w:t>
            </w:r>
          </w:p>
        </w:tc>
        <w:tc>
          <w:tcPr>
            <w:tcW w:w="2126" w:type="dxa"/>
            <w:tcBorders>
              <w:top w:val="nil"/>
              <w:left w:val="nil"/>
              <w:bottom w:val="single" w:sz="4" w:space="0" w:color="auto"/>
              <w:right w:val="nil"/>
            </w:tcBorders>
            <w:shd w:val="clear" w:color="000000" w:fill="FFFFFF"/>
            <w:noWrap/>
            <w:vAlign w:val="bottom"/>
            <w:hideMark/>
          </w:tcPr>
          <w:p w14:paraId="05233764" w14:textId="77777777" w:rsidR="00130FD6" w:rsidRPr="00130FD6" w:rsidRDefault="00130FD6" w:rsidP="00130FD6">
            <w:pPr>
              <w:jc w:val="center"/>
              <w:rPr>
                <w:rFonts w:eastAsia="Times New Roman"/>
                <w:color w:val="000000"/>
                <w:sz w:val="20"/>
                <w:szCs w:val="20"/>
                <w:lang w:eastAsia="pt-BR"/>
              </w:rPr>
            </w:pPr>
            <w:r w:rsidRPr="00130FD6">
              <w:rPr>
                <w:rFonts w:eastAsia="Times New Roman"/>
                <w:color w:val="000000"/>
                <w:sz w:val="20"/>
                <w:szCs w:val="20"/>
                <w:lang w:eastAsia="pt-BR"/>
              </w:rPr>
              <w:t>31%</w:t>
            </w:r>
          </w:p>
        </w:tc>
      </w:tr>
      <w:tr w:rsidR="00130FD6" w:rsidRPr="00130FD6" w14:paraId="32B7515E" w14:textId="77777777" w:rsidTr="00C51428">
        <w:trPr>
          <w:trHeight w:val="300"/>
        </w:trPr>
        <w:tc>
          <w:tcPr>
            <w:tcW w:w="2551" w:type="dxa"/>
            <w:tcBorders>
              <w:top w:val="nil"/>
              <w:left w:val="nil"/>
              <w:bottom w:val="single" w:sz="4" w:space="0" w:color="auto"/>
              <w:right w:val="nil"/>
            </w:tcBorders>
            <w:shd w:val="clear" w:color="000000" w:fill="FFFFFF"/>
            <w:noWrap/>
            <w:vAlign w:val="bottom"/>
            <w:hideMark/>
          </w:tcPr>
          <w:p w14:paraId="2441324F" w14:textId="77777777" w:rsidR="00130FD6" w:rsidRPr="00130FD6" w:rsidRDefault="00130FD6" w:rsidP="00D14FEE">
            <w:pPr>
              <w:ind w:left="-69"/>
              <w:rPr>
                <w:rFonts w:eastAsia="Times New Roman"/>
                <w:color w:val="000000"/>
                <w:sz w:val="20"/>
                <w:szCs w:val="20"/>
                <w:lang w:eastAsia="pt-BR"/>
              </w:rPr>
            </w:pPr>
            <w:r w:rsidRPr="00130FD6">
              <w:rPr>
                <w:rFonts w:eastAsia="Times New Roman"/>
                <w:color w:val="000000"/>
                <w:sz w:val="20"/>
                <w:szCs w:val="20"/>
                <w:lang w:eastAsia="pt-BR"/>
              </w:rPr>
              <w:t>Valor Empresas de Fora</w:t>
            </w:r>
          </w:p>
        </w:tc>
        <w:tc>
          <w:tcPr>
            <w:tcW w:w="1843" w:type="dxa"/>
            <w:tcBorders>
              <w:top w:val="nil"/>
              <w:left w:val="nil"/>
              <w:bottom w:val="single" w:sz="4" w:space="0" w:color="auto"/>
              <w:right w:val="nil"/>
            </w:tcBorders>
            <w:shd w:val="clear" w:color="000000" w:fill="FFFFFF"/>
            <w:noWrap/>
            <w:vAlign w:val="bottom"/>
            <w:hideMark/>
          </w:tcPr>
          <w:p w14:paraId="7433BD63" w14:textId="77777777" w:rsidR="00130FD6" w:rsidRPr="00130FD6" w:rsidRDefault="00130FD6" w:rsidP="00130FD6">
            <w:pPr>
              <w:jc w:val="center"/>
              <w:rPr>
                <w:rFonts w:eastAsia="Times New Roman"/>
                <w:color w:val="000000"/>
                <w:sz w:val="20"/>
                <w:szCs w:val="20"/>
                <w:lang w:eastAsia="pt-BR"/>
              </w:rPr>
            </w:pPr>
            <w:r w:rsidRPr="00130FD6">
              <w:rPr>
                <w:rFonts w:eastAsia="Times New Roman"/>
                <w:color w:val="000000"/>
                <w:sz w:val="20"/>
                <w:szCs w:val="20"/>
                <w:lang w:eastAsia="pt-BR"/>
              </w:rPr>
              <w:t>69</w:t>
            </w:r>
          </w:p>
        </w:tc>
        <w:tc>
          <w:tcPr>
            <w:tcW w:w="1701" w:type="dxa"/>
            <w:tcBorders>
              <w:top w:val="nil"/>
              <w:left w:val="nil"/>
              <w:bottom w:val="single" w:sz="4" w:space="0" w:color="auto"/>
              <w:right w:val="nil"/>
            </w:tcBorders>
            <w:shd w:val="clear" w:color="000000" w:fill="FFFFFF"/>
            <w:noWrap/>
            <w:vAlign w:val="bottom"/>
            <w:hideMark/>
          </w:tcPr>
          <w:p w14:paraId="7FF5841C" w14:textId="77777777" w:rsidR="00130FD6" w:rsidRPr="00130FD6" w:rsidRDefault="00130FD6" w:rsidP="00130FD6">
            <w:pPr>
              <w:jc w:val="center"/>
              <w:rPr>
                <w:rFonts w:eastAsia="Times New Roman"/>
                <w:color w:val="000000"/>
                <w:sz w:val="20"/>
                <w:szCs w:val="20"/>
                <w:lang w:eastAsia="pt-BR"/>
              </w:rPr>
            </w:pPr>
            <w:r w:rsidRPr="00130FD6">
              <w:rPr>
                <w:rFonts w:eastAsia="Times New Roman"/>
                <w:color w:val="000000"/>
                <w:sz w:val="20"/>
                <w:szCs w:val="20"/>
                <w:lang w:eastAsia="pt-BR"/>
              </w:rPr>
              <w:t>3.990.316,36</w:t>
            </w:r>
          </w:p>
        </w:tc>
        <w:tc>
          <w:tcPr>
            <w:tcW w:w="2126" w:type="dxa"/>
            <w:tcBorders>
              <w:top w:val="nil"/>
              <w:left w:val="nil"/>
              <w:bottom w:val="single" w:sz="4" w:space="0" w:color="auto"/>
              <w:right w:val="nil"/>
            </w:tcBorders>
            <w:shd w:val="clear" w:color="000000" w:fill="FFFFFF"/>
            <w:noWrap/>
            <w:vAlign w:val="bottom"/>
            <w:hideMark/>
          </w:tcPr>
          <w:p w14:paraId="08DA1DD6" w14:textId="77777777" w:rsidR="00130FD6" w:rsidRPr="00130FD6" w:rsidRDefault="00130FD6" w:rsidP="00130FD6">
            <w:pPr>
              <w:jc w:val="center"/>
              <w:rPr>
                <w:rFonts w:eastAsia="Times New Roman"/>
                <w:color w:val="000000"/>
                <w:sz w:val="20"/>
                <w:szCs w:val="20"/>
                <w:lang w:eastAsia="pt-BR"/>
              </w:rPr>
            </w:pPr>
            <w:r w:rsidRPr="00130FD6">
              <w:rPr>
                <w:rFonts w:eastAsia="Times New Roman"/>
                <w:color w:val="000000"/>
                <w:sz w:val="20"/>
                <w:szCs w:val="20"/>
                <w:lang w:eastAsia="pt-BR"/>
              </w:rPr>
              <w:t>34%</w:t>
            </w:r>
          </w:p>
        </w:tc>
      </w:tr>
    </w:tbl>
    <w:p w14:paraId="3850F73B" w14:textId="492FE723" w:rsidR="00214CE7" w:rsidRDefault="00130FD6" w:rsidP="00C51428">
      <w:pPr>
        <w:spacing w:after="160" w:line="259" w:lineRule="auto"/>
        <w:ind w:left="284"/>
        <w:rPr>
          <w:sz w:val="20"/>
          <w:szCs w:val="20"/>
        </w:rPr>
      </w:pPr>
      <w:r>
        <w:rPr>
          <w:sz w:val="20"/>
          <w:szCs w:val="20"/>
        </w:rPr>
        <w:t>Fonte: Elaborado pela autora</w:t>
      </w:r>
    </w:p>
    <w:p w14:paraId="4DC2FC49" w14:textId="77777777" w:rsidR="00991799" w:rsidRDefault="00991799">
      <w:pPr>
        <w:spacing w:after="160" w:line="259" w:lineRule="auto"/>
        <w:rPr>
          <w:sz w:val="20"/>
          <w:szCs w:val="20"/>
        </w:rPr>
      </w:pPr>
    </w:p>
    <w:p w14:paraId="54CC1078" w14:textId="21F557AA" w:rsidR="00E15ECF" w:rsidRDefault="008646AA" w:rsidP="00714D80">
      <w:pPr>
        <w:pStyle w:val="UnidaviTexto-Espao15"/>
      </w:pPr>
      <w:r>
        <w:t>A Tabela 4 reflete que n</w:t>
      </w:r>
      <w:r w:rsidR="00714D80">
        <w:t>o ano de</w:t>
      </w:r>
      <w:r w:rsidR="00991799">
        <w:t xml:space="preserve"> 2017, as 112</w:t>
      </w:r>
      <w:r w:rsidR="00714D80">
        <w:t xml:space="preserve"> licitações realizadas totalizaram o valor de R$ 11.702.228,08</w:t>
      </w:r>
      <w:r w:rsidR="00214CE7">
        <w:t>. Desse total, R$ 4.041.684,17 foram para empresas do município de Taió, R$ 3.670.227,55 foram para empresas que fazem parte do Alto Vale do Itajaí e 3.990.316,36 foram para empresas que são de fora do Alto Vale do Itajaí.</w:t>
      </w:r>
    </w:p>
    <w:p w14:paraId="2678F448" w14:textId="77777777" w:rsidR="006B4F46" w:rsidRDefault="006B4F46" w:rsidP="00714D80">
      <w:pPr>
        <w:pStyle w:val="UnidaviTexto-Espao15"/>
      </w:pPr>
    </w:p>
    <w:p w14:paraId="0408B0A3" w14:textId="79ACF085" w:rsidR="00214CE7" w:rsidRPr="00C51428" w:rsidRDefault="00C51428" w:rsidP="00C51428">
      <w:pPr>
        <w:pStyle w:val="UnidaviTexto-Espao15"/>
        <w:spacing w:line="240" w:lineRule="auto"/>
        <w:ind w:left="284" w:firstLine="0"/>
        <w:contextualSpacing/>
        <w:rPr>
          <w:b/>
          <w:sz w:val="20"/>
        </w:rPr>
      </w:pPr>
      <w:r w:rsidRPr="007F2776">
        <w:rPr>
          <w:b/>
          <w:sz w:val="20"/>
        </w:rPr>
        <w:t>Gr</w:t>
      </w:r>
      <w:r>
        <w:rPr>
          <w:b/>
          <w:sz w:val="20"/>
        </w:rPr>
        <w:t>áfico 5</w:t>
      </w:r>
      <w:r w:rsidRPr="007F2776">
        <w:rPr>
          <w:b/>
          <w:sz w:val="20"/>
        </w:rPr>
        <w:t xml:space="preserve"> – </w:t>
      </w:r>
      <w:r>
        <w:rPr>
          <w:b/>
          <w:sz w:val="20"/>
        </w:rPr>
        <w:t>Valor das empresas vencedoras por região no ano 2017</w:t>
      </w:r>
    </w:p>
    <w:p w14:paraId="5868D03F" w14:textId="4AB57061" w:rsidR="00214CE7" w:rsidRDefault="00214CE7" w:rsidP="00156B9D">
      <w:pPr>
        <w:pStyle w:val="UnidaviTexto-Espao15"/>
        <w:tabs>
          <w:tab w:val="left" w:pos="142"/>
        </w:tabs>
        <w:spacing w:line="240" w:lineRule="auto"/>
        <w:ind w:left="709" w:right="283" w:hanging="425"/>
        <w:contextualSpacing/>
      </w:pPr>
      <w:r>
        <w:rPr>
          <w:noProof/>
        </w:rPr>
        <w:drawing>
          <wp:inline distT="0" distB="0" distL="0" distR="0" wp14:anchorId="2DA50E49" wp14:editId="717AB53D">
            <wp:extent cx="5175849" cy="2833370"/>
            <wp:effectExtent l="0" t="0" r="6350" b="508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46EA65" w14:textId="755B55CA" w:rsidR="00894134" w:rsidRPr="001E0F72" w:rsidRDefault="00584D3C" w:rsidP="00655E11">
      <w:pPr>
        <w:pStyle w:val="UnidaviTexto-Espao15"/>
        <w:spacing w:line="240" w:lineRule="auto"/>
        <w:ind w:left="426" w:hanging="142"/>
        <w:contextualSpacing/>
        <w:rPr>
          <w:sz w:val="20"/>
        </w:rPr>
      </w:pPr>
      <w:r>
        <w:rPr>
          <w:sz w:val="20"/>
        </w:rPr>
        <w:t>Fonte: Dados da pesquisa (2021)</w:t>
      </w:r>
    </w:p>
    <w:p w14:paraId="449C4ABE" w14:textId="3CFB0F47" w:rsidR="00E15ECF" w:rsidRDefault="00E15ECF" w:rsidP="00916ED5">
      <w:pPr>
        <w:spacing w:after="160" w:line="360" w:lineRule="auto"/>
        <w:rPr>
          <w:sz w:val="20"/>
          <w:szCs w:val="20"/>
        </w:rPr>
      </w:pPr>
    </w:p>
    <w:p w14:paraId="45626A2F" w14:textId="07EA3F2C" w:rsidR="00FC73E7" w:rsidRDefault="00FC73E7" w:rsidP="00FC73E7">
      <w:pPr>
        <w:pStyle w:val="UnidaviTexto-Espao15"/>
      </w:pPr>
      <w:r>
        <w:t>Em se tratando de valores licitados no ano de 2017, 35% do valor total representado por R$ 4.041.684.17 foram das empresas vencedoras que</w:t>
      </w:r>
      <w:r w:rsidR="00944E08">
        <w:t xml:space="preserve"> pertencem ao município de Taió, 31% representa o valor das empresas do Alto Vale do Itajaí e 34% representa o Valor das empresas de fora do Alto Vale do Itajaí, conforme reflete o Gráfico 5.</w:t>
      </w:r>
    </w:p>
    <w:p w14:paraId="033EE754" w14:textId="3491BEFC" w:rsidR="00FC73E7" w:rsidRDefault="00FC73E7" w:rsidP="00FC73E7">
      <w:pPr>
        <w:pStyle w:val="UnidaviTexto-Espao15"/>
      </w:pPr>
      <w:r>
        <w:t>Outra informação que a pesquisa buscou analisar, é a quantidade de participações vencedoras o ano de 2017 que foram representadas por empresas c</w:t>
      </w:r>
      <w:r w:rsidR="00EE4983">
        <w:t>lassificadas como ME – Microe</w:t>
      </w:r>
      <w:r>
        <w:t xml:space="preserve">mpresa e EPP – Empresa de Pequeno Porte, e que usufruíram do benefício da Lei Complementar </w:t>
      </w:r>
      <w:r w:rsidR="00D35B8D">
        <w:t>nº 123/06, onde empresas enquadradas nessas duas categorias possuem uma vantagem de 5% a 10% em relação às empresas de porte maior.</w:t>
      </w:r>
    </w:p>
    <w:p w14:paraId="3D06D588" w14:textId="3A2EEADE" w:rsidR="00894134" w:rsidRDefault="00894134" w:rsidP="00916ED5">
      <w:pPr>
        <w:spacing w:after="160" w:line="360" w:lineRule="auto"/>
        <w:rPr>
          <w:sz w:val="20"/>
          <w:szCs w:val="20"/>
        </w:rPr>
      </w:pPr>
    </w:p>
    <w:p w14:paraId="3846CBC1" w14:textId="4879B208" w:rsidR="00E15ECF" w:rsidRPr="00C51428" w:rsidRDefault="00944E08" w:rsidP="00584D3C">
      <w:pPr>
        <w:ind w:left="284"/>
        <w:rPr>
          <w:b/>
          <w:sz w:val="20"/>
          <w:szCs w:val="20"/>
        </w:rPr>
      </w:pPr>
      <w:r>
        <w:rPr>
          <w:b/>
          <w:sz w:val="20"/>
          <w:szCs w:val="20"/>
        </w:rPr>
        <w:t xml:space="preserve">Tabela </w:t>
      </w:r>
      <w:r w:rsidR="00584D3C">
        <w:rPr>
          <w:b/>
          <w:sz w:val="20"/>
          <w:szCs w:val="20"/>
        </w:rPr>
        <w:t>5 – Qtd</w:t>
      </w:r>
      <w:r w:rsidR="00E15ECF" w:rsidRPr="00C51428">
        <w:rPr>
          <w:b/>
          <w:sz w:val="20"/>
          <w:szCs w:val="20"/>
        </w:rPr>
        <w:t xml:space="preserve"> e valor das empresas enquadradas como ME/EPP participantes no ano 2017</w:t>
      </w:r>
    </w:p>
    <w:tbl>
      <w:tblPr>
        <w:tblW w:w="8221" w:type="dxa"/>
        <w:tblInd w:w="284" w:type="dxa"/>
        <w:tblCellMar>
          <w:left w:w="70" w:type="dxa"/>
          <w:right w:w="70" w:type="dxa"/>
        </w:tblCellMar>
        <w:tblLook w:val="04A0" w:firstRow="1" w:lastRow="0" w:firstColumn="1" w:lastColumn="0" w:noHBand="0" w:noVBand="1"/>
      </w:tblPr>
      <w:tblGrid>
        <w:gridCol w:w="1976"/>
        <w:gridCol w:w="940"/>
        <w:gridCol w:w="769"/>
        <w:gridCol w:w="2552"/>
        <w:gridCol w:w="1190"/>
        <w:gridCol w:w="794"/>
      </w:tblGrid>
      <w:tr w:rsidR="00E15ECF" w:rsidRPr="00E15ECF" w14:paraId="657D86D6" w14:textId="77777777" w:rsidTr="00584D3C">
        <w:trPr>
          <w:trHeight w:val="300"/>
        </w:trPr>
        <w:tc>
          <w:tcPr>
            <w:tcW w:w="1976" w:type="dxa"/>
            <w:tcBorders>
              <w:top w:val="single" w:sz="4" w:space="0" w:color="auto"/>
              <w:left w:val="nil"/>
              <w:bottom w:val="single" w:sz="4" w:space="0" w:color="auto"/>
              <w:right w:val="nil"/>
            </w:tcBorders>
            <w:shd w:val="clear" w:color="000000" w:fill="FFFFFF"/>
            <w:noWrap/>
            <w:vAlign w:val="bottom"/>
            <w:hideMark/>
          </w:tcPr>
          <w:p w14:paraId="6E246A8B" w14:textId="77777777" w:rsidR="00E15ECF" w:rsidRPr="00E15ECF" w:rsidRDefault="00E15ECF" w:rsidP="00D14FEE">
            <w:pPr>
              <w:ind w:left="-69"/>
              <w:rPr>
                <w:rFonts w:eastAsia="Times New Roman"/>
                <w:b/>
                <w:bCs/>
                <w:color w:val="000000"/>
                <w:sz w:val="20"/>
                <w:szCs w:val="20"/>
                <w:lang w:eastAsia="pt-BR"/>
              </w:rPr>
            </w:pPr>
            <w:r w:rsidRPr="00E15ECF">
              <w:rPr>
                <w:rFonts w:eastAsia="Times New Roman"/>
                <w:b/>
                <w:bCs/>
                <w:color w:val="000000"/>
                <w:sz w:val="20"/>
                <w:szCs w:val="20"/>
                <w:lang w:eastAsia="pt-BR"/>
              </w:rPr>
              <w:t>Vencedores ME/EPP</w:t>
            </w:r>
          </w:p>
        </w:tc>
        <w:tc>
          <w:tcPr>
            <w:tcW w:w="940" w:type="dxa"/>
            <w:tcBorders>
              <w:top w:val="single" w:sz="4" w:space="0" w:color="auto"/>
              <w:left w:val="nil"/>
              <w:bottom w:val="single" w:sz="4" w:space="0" w:color="auto"/>
              <w:right w:val="nil"/>
            </w:tcBorders>
            <w:shd w:val="clear" w:color="000000" w:fill="FFFFFF"/>
            <w:noWrap/>
            <w:vAlign w:val="bottom"/>
            <w:hideMark/>
          </w:tcPr>
          <w:p w14:paraId="06184AB7" w14:textId="77777777" w:rsidR="00E15ECF" w:rsidRPr="00E15ECF" w:rsidRDefault="00E15ECF" w:rsidP="00E15ECF">
            <w:pPr>
              <w:jc w:val="center"/>
              <w:rPr>
                <w:rFonts w:eastAsia="Times New Roman"/>
                <w:b/>
                <w:bCs/>
                <w:color w:val="000000"/>
                <w:sz w:val="20"/>
                <w:szCs w:val="20"/>
                <w:lang w:eastAsia="pt-BR"/>
              </w:rPr>
            </w:pPr>
            <w:r w:rsidRPr="00E15ECF">
              <w:rPr>
                <w:rFonts w:eastAsia="Times New Roman"/>
                <w:b/>
                <w:bCs/>
                <w:color w:val="000000"/>
                <w:sz w:val="20"/>
                <w:szCs w:val="20"/>
                <w:lang w:eastAsia="pt-BR"/>
              </w:rPr>
              <w:t>Nº de empresas</w:t>
            </w:r>
          </w:p>
        </w:tc>
        <w:tc>
          <w:tcPr>
            <w:tcW w:w="769" w:type="dxa"/>
            <w:tcBorders>
              <w:top w:val="single" w:sz="4" w:space="0" w:color="auto"/>
              <w:left w:val="nil"/>
              <w:bottom w:val="single" w:sz="4" w:space="0" w:color="auto"/>
              <w:right w:val="nil"/>
            </w:tcBorders>
            <w:shd w:val="clear" w:color="000000" w:fill="FFFFFF"/>
            <w:noWrap/>
            <w:vAlign w:val="bottom"/>
            <w:hideMark/>
          </w:tcPr>
          <w:p w14:paraId="6CF6F777" w14:textId="77777777" w:rsidR="00E15ECF" w:rsidRPr="00E15ECF" w:rsidRDefault="00E15ECF" w:rsidP="00E15ECF">
            <w:pPr>
              <w:jc w:val="center"/>
              <w:rPr>
                <w:rFonts w:eastAsia="Times New Roman"/>
                <w:b/>
                <w:bCs/>
                <w:color w:val="000000"/>
                <w:sz w:val="20"/>
                <w:szCs w:val="20"/>
                <w:lang w:eastAsia="pt-BR"/>
              </w:rPr>
            </w:pPr>
            <w:r w:rsidRPr="00E15ECF">
              <w:rPr>
                <w:rFonts w:eastAsia="Times New Roman"/>
                <w:b/>
                <w:bCs/>
                <w:color w:val="000000"/>
                <w:sz w:val="20"/>
                <w:szCs w:val="20"/>
                <w:lang w:eastAsia="pt-BR"/>
              </w:rPr>
              <w:t>%</w:t>
            </w:r>
          </w:p>
        </w:tc>
        <w:tc>
          <w:tcPr>
            <w:tcW w:w="2552" w:type="dxa"/>
            <w:tcBorders>
              <w:top w:val="single" w:sz="4" w:space="0" w:color="auto"/>
              <w:left w:val="nil"/>
              <w:bottom w:val="single" w:sz="4" w:space="0" w:color="auto"/>
              <w:right w:val="nil"/>
            </w:tcBorders>
            <w:shd w:val="clear" w:color="000000" w:fill="FFFFFF"/>
            <w:noWrap/>
            <w:vAlign w:val="bottom"/>
            <w:hideMark/>
          </w:tcPr>
          <w:p w14:paraId="598077C8" w14:textId="77777777" w:rsidR="00E15ECF" w:rsidRPr="00E15ECF" w:rsidRDefault="00E15ECF" w:rsidP="00E15ECF">
            <w:pPr>
              <w:rPr>
                <w:rFonts w:eastAsia="Times New Roman"/>
                <w:b/>
                <w:bCs/>
                <w:color w:val="000000"/>
                <w:sz w:val="20"/>
                <w:szCs w:val="20"/>
                <w:lang w:eastAsia="pt-BR"/>
              </w:rPr>
            </w:pPr>
            <w:r w:rsidRPr="00E15ECF">
              <w:rPr>
                <w:rFonts w:eastAsia="Times New Roman"/>
                <w:b/>
                <w:bCs/>
                <w:color w:val="000000"/>
                <w:sz w:val="20"/>
                <w:szCs w:val="20"/>
                <w:lang w:eastAsia="pt-BR"/>
              </w:rPr>
              <w:t>Vencedores ME/EPP</w:t>
            </w:r>
          </w:p>
        </w:tc>
        <w:tc>
          <w:tcPr>
            <w:tcW w:w="1190" w:type="dxa"/>
            <w:tcBorders>
              <w:top w:val="single" w:sz="4" w:space="0" w:color="auto"/>
              <w:left w:val="nil"/>
              <w:bottom w:val="single" w:sz="4" w:space="0" w:color="auto"/>
              <w:right w:val="nil"/>
            </w:tcBorders>
            <w:shd w:val="clear" w:color="000000" w:fill="FFFFFF"/>
            <w:noWrap/>
            <w:vAlign w:val="bottom"/>
            <w:hideMark/>
          </w:tcPr>
          <w:p w14:paraId="30800EB2" w14:textId="77777777" w:rsidR="00E15ECF" w:rsidRPr="00E15ECF" w:rsidRDefault="00E15ECF" w:rsidP="00E15ECF">
            <w:pPr>
              <w:jc w:val="center"/>
              <w:rPr>
                <w:rFonts w:eastAsia="Times New Roman"/>
                <w:b/>
                <w:bCs/>
                <w:color w:val="000000"/>
                <w:sz w:val="20"/>
                <w:szCs w:val="20"/>
                <w:lang w:eastAsia="pt-BR"/>
              </w:rPr>
            </w:pPr>
            <w:r w:rsidRPr="00E15ECF">
              <w:rPr>
                <w:rFonts w:eastAsia="Times New Roman"/>
                <w:b/>
                <w:bCs/>
                <w:color w:val="000000"/>
                <w:sz w:val="20"/>
                <w:szCs w:val="20"/>
                <w:lang w:eastAsia="pt-BR"/>
              </w:rPr>
              <w:t>Valor</w:t>
            </w:r>
          </w:p>
        </w:tc>
        <w:tc>
          <w:tcPr>
            <w:tcW w:w="794" w:type="dxa"/>
            <w:tcBorders>
              <w:top w:val="single" w:sz="4" w:space="0" w:color="auto"/>
              <w:left w:val="nil"/>
              <w:bottom w:val="single" w:sz="4" w:space="0" w:color="auto"/>
              <w:right w:val="nil"/>
            </w:tcBorders>
            <w:shd w:val="clear" w:color="auto" w:fill="auto"/>
            <w:noWrap/>
            <w:vAlign w:val="bottom"/>
            <w:hideMark/>
          </w:tcPr>
          <w:p w14:paraId="3BC090BD" w14:textId="77777777" w:rsidR="00E15ECF" w:rsidRPr="00E15ECF" w:rsidRDefault="00E15ECF" w:rsidP="00E15ECF">
            <w:pPr>
              <w:jc w:val="center"/>
              <w:rPr>
                <w:rFonts w:eastAsia="Times New Roman"/>
                <w:b/>
                <w:bCs/>
                <w:color w:val="000000"/>
                <w:sz w:val="20"/>
                <w:szCs w:val="20"/>
                <w:lang w:eastAsia="pt-BR"/>
              </w:rPr>
            </w:pPr>
            <w:r w:rsidRPr="00E15ECF">
              <w:rPr>
                <w:rFonts w:eastAsia="Times New Roman"/>
                <w:b/>
                <w:bCs/>
                <w:color w:val="000000"/>
                <w:sz w:val="20"/>
                <w:szCs w:val="20"/>
                <w:lang w:eastAsia="pt-BR"/>
              </w:rPr>
              <w:t>%</w:t>
            </w:r>
          </w:p>
        </w:tc>
      </w:tr>
      <w:tr w:rsidR="00E15ECF" w:rsidRPr="00E15ECF" w14:paraId="23B2BBB4" w14:textId="77777777" w:rsidTr="00584D3C">
        <w:trPr>
          <w:trHeight w:val="300"/>
        </w:trPr>
        <w:tc>
          <w:tcPr>
            <w:tcW w:w="1976" w:type="dxa"/>
            <w:tcBorders>
              <w:top w:val="nil"/>
              <w:left w:val="nil"/>
              <w:bottom w:val="single" w:sz="4" w:space="0" w:color="auto"/>
              <w:right w:val="nil"/>
            </w:tcBorders>
            <w:shd w:val="clear" w:color="000000" w:fill="FFFFFF"/>
            <w:noWrap/>
            <w:vAlign w:val="bottom"/>
            <w:hideMark/>
          </w:tcPr>
          <w:p w14:paraId="1BAABA54" w14:textId="77777777" w:rsidR="00E15ECF" w:rsidRPr="00E15ECF" w:rsidRDefault="00E15ECF" w:rsidP="00D14FEE">
            <w:pPr>
              <w:ind w:left="-69"/>
              <w:rPr>
                <w:rFonts w:eastAsia="Times New Roman"/>
                <w:color w:val="000000"/>
                <w:sz w:val="20"/>
                <w:szCs w:val="20"/>
                <w:lang w:eastAsia="pt-BR"/>
              </w:rPr>
            </w:pPr>
            <w:r w:rsidRPr="00E15ECF">
              <w:rPr>
                <w:rFonts w:eastAsia="Times New Roman"/>
                <w:color w:val="000000"/>
                <w:sz w:val="20"/>
                <w:szCs w:val="20"/>
                <w:lang w:eastAsia="pt-BR"/>
              </w:rPr>
              <w:t>Ano 2017</w:t>
            </w:r>
          </w:p>
        </w:tc>
        <w:tc>
          <w:tcPr>
            <w:tcW w:w="940" w:type="dxa"/>
            <w:tcBorders>
              <w:top w:val="nil"/>
              <w:left w:val="nil"/>
              <w:bottom w:val="single" w:sz="4" w:space="0" w:color="auto"/>
              <w:right w:val="nil"/>
            </w:tcBorders>
            <w:shd w:val="clear" w:color="000000" w:fill="FFFFFF"/>
            <w:noWrap/>
            <w:vAlign w:val="bottom"/>
            <w:hideMark/>
          </w:tcPr>
          <w:p w14:paraId="7FBAE248" w14:textId="77777777" w:rsidR="00E15ECF" w:rsidRPr="00E15ECF" w:rsidRDefault="00E15ECF" w:rsidP="00E15ECF">
            <w:pPr>
              <w:jc w:val="center"/>
              <w:rPr>
                <w:rFonts w:eastAsia="Times New Roman"/>
                <w:color w:val="000000"/>
                <w:sz w:val="20"/>
                <w:szCs w:val="20"/>
                <w:lang w:eastAsia="pt-BR"/>
              </w:rPr>
            </w:pPr>
            <w:r w:rsidRPr="00E15ECF">
              <w:rPr>
                <w:rFonts w:eastAsia="Times New Roman"/>
                <w:color w:val="000000"/>
                <w:sz w:val="20"/>
                <w:szCs w:val="20"/>
                <w:lang w:eastAsia="pt-BR"/>
              </w:rPr>
              <w:t>141</w:t>
            </w:r>
          </w:p>
        </w:tc>
        <w:tc>
          <w:tcPr>
            <w:tcW w:w="769" w:type="dxa"/>
            <w:tcBorders>
              <w:top w:val="nil"/>
              <w:left w:val="nil"/>
              <w:bottom w:val="single" w:sz="4" w:space="0" w:color="auto"/>
              <w:right w:val="nil"/>
            </w:tcBorders>
            <w:shd w:val="clear" w:color="000000" w:fill="FFFFFF"/>
            <w:noWrap/>
            <w:vAlign w:val="bottom"/>
            <w:hideMark/>
          </w:tcPr>
          <w:p w14:paraId="3F87E615" w14:textId="77777777" w:rsidR="00E15ECF" w:rsidRPr="00E15ECF" w:rsidRDefault="00E15ECF" w:rsidP="00E15ECF">
            <w:pPr>
              <w:jc w:val="center"/>
              <w:rPr>
                <w:rFonts w:eastAsia="Times New Roman"/>
                <w:color w:val="000000"/>
                <w:sz w:val="20"/>
                <w:szCs w:val="20"/>
                <w:lang w:eastAsia="pt-BR"/>
              </w:rPr>
            </w:pPr>
            <w:r w:rsidRPr="00E15ECF">
              <w:rPr>
                <w:rFonts w:eastAsia="Times New Roman"/>
                <w:color w:val="000000"/>
                <w:sz w:val="20"/>
                <w:szCs w:val="20"/>
                <w:lang w:eastAsia="pt-BR"/>
              </w:rPr>
              <w:t>100%</w:t>
            </w:r>
          </w:p>
        </w:tc>
        <w:tc>
          <w:tcPr>
            <w:tcW w:w="2552" w:type="dxa"/>
            <w:tcBorders>
              <w:top w:val="nil"/>
              <w:left w:val="nil"/>
              <w:bottom w:val="single" w:sz="4" w:space="0" w:color="auto"/>
              <w:right w:val="nil"/>
            </w:tcBorders>
            <w:shd w:val="clear" w:color="000000" w:fill="FFFFFF"/>
            <w:noWrap/>
            <w:vAlign w:val="bottom"/>
            <w:hideMark/>
          </w:tcPr>
          <w:p w14:paraId="5B928C45" w14:textId="77777777" w:rsidR="00E15ECF" w:rsidRPr="00E15ECF" w:rsidRDefault="00E15ECF" w:rsidP="00E15ECF">
            <w:pPr>
              <w:rPr>
                <w:rFonts w:eastAsia="Times New Roman"/>
                <w:color w:val="000000"/>
                <w:sz w:val="20"/>
                <w:szCs w:val="20"/>
                <w:lang w:eastAsia="pt-BR"/>
              </w:rPr>
            </w:pPr>
            <w:r w:rsidRPr="00E15ECF">
              <w:rPr>
                <w:rFonts w:eastAsia="Times New Roman"/>
                <w:color w:val="000000"/>
                <w:sz w:val="20"/>
                <w:szCs w:val="20"/>
                <w:lang w:eastAsia="pt-BR"/>
              </w:rPr>
              <w:t>Ano 2017</w:t>
            </w:r>
          </w:p>
        </w:tc>
        <w:tc>
          <w:tcPr>
            <w:tcW w:w="1190" w:type="dxa"/>
            <w:tcBorders>
              <w:top w:val="nil"/>
              <w:left w:val="nil"/>
              <w:bottom w:val="single" w:sz="4" w:space="0" w:color="auto"/>
              <w:right w:val="nil"/>
            </w:tcBorders>
            <w:shd w:val="clear" w:color="000000" w:fill="FFFFFF"/>
            <w:noWrap/>
            <w:vAlign w:val="bottom"/>
            <w:hideMark/>
          </w:tcPr>
          <w:p w14:paraId="201C0856" w14:textId="77777777" w:rsidR="00E15ECF" w:rsidRPr="00E15ECF" w:rsidRDefault="00E15ECF" w:rsidP="00E15ECF">
            <w:pPr>
              <w:jc w:val="center"/>
              <w:rPr>
                <w:rFonts w:eastAsia="Times New Roman"/>
                <w:color w:val="000000"/>
                <w:sz w:val="20"/>
                <w:szCs w:val="20"/>
                <w:lang w:eastAsia="pt-BR"/>
              </w:rPr>
            </w:pPr>
            <w:r w:rsidRPr="00E15ECF">
              <w:rPr>
                <w:rFonts w:eastAsia="Times New Roman"/>
                <w:color w:val="000000"/>
                <w:sz w:val="20"/>
                <w:szCs w:val="20"/>
                <w:lang w:eastAsia="pt-BR"/>
              </w:rPr>
              <w:t>6.575.350,61</w:t>
            </w:r>
          </w:p>
        </w:tc>
        <w:tc>
          <w:tcPr>
            <w:tcW w:w="794" w:type="dxa"/>
            <w:tcBorders>
              <w:top w:val="nil"/>
              <w:left w:val="nil"/>
              <w:bottom w:val="single" w:sz="4" w:space="0" w:color="auto"/>
              <w:right w:val="nil"/>
            </w:tcBorders>
            <w:shd w:val="clear" w:color="auto" w:fill="auto"/>
            <w:noWrap/>
            <w:vAlign w:val="bottom"/>
            <w:hideMark/>
          </w:tcPr>
          <w:p w14:paraId="6E7899D7" w14:textId="77777777" w:rsidR="00E15ECF" w:rsidRPr="00E15ECF" w:rsidRDefault="00E15ECF" w:rsidP="00E15ECF">
            <w:pPr>
              <w:jc w:val="center"/>
              <w:rPr>
                <w:rFonts w:eastAsia="Times New Roman"/>
                <w:color w:val="000000"/>
                <w:sz w:val="20"/>
                <w:szCs w:val="20"/>
                <w:lang w:eastAsia="pt-BR"/>
              </w:rPr>
            </w:pPr>
            <w:r w:rsidRPr="00E15ECF">
              <w:rPr>
                <w:rFonts w:eastAsia="Times New Roman"/>
                <w:color w:val="000000"/>
                <w:sz w:val="20"/>
                <w:szCs w:val="20"/>
                <w:lang w:eastAsia="pt-BR"/>
              </w:rPr>
              <w:t>100%</w:t>
            </w:r>
          </w:p>
        </w:tc>
      </w:tr>
      <w:tr w:rsidR="00E15ECF" w:rsidRPr="00E15ECF" w14:paraId="5C12A8F5" w14:textId="77777777" w:rsidTr="00584D3C">
        <w:trPr>
          <w:trHeight w:val="300"/>
        </w:trPr>
        <w:tc>
          <w:tcPr>
            <w:tcW w:w="1976" w:type="dxa"/>
            <w:tcBorders>
              <w:top w:val="nil"/>
              <w:left w:val="nil"/>
              <w:bottom w:val="single" w:sz="4" w:space="0" w:color="auto"/>
              <w:right w:val="nil"/>
            </w:tcBorders>
            <w:shd w:val="clear" w:color="auto" w:fill="auto"/>
            <w:noWrap/>
            <w:vAlign w:val="bottom"/>
            <w:hideMark/>
          </w:tcPr>
          <w:p w14:paraId="1AD79FC4" w14:textId="77777777" w:rsidR="00E15ECF" w:rsidRPr="00E15ECF" w:rsidRDefault="00E15ECF" w:rsidP="00D14FEE">
            <w:pPr>
              <w:ind w:left="-69"/>
              <w:rPr>
                <w:rFonts w:eastAsia="Times New Roman"/>
                <w:color w:val="000000"/>
                <w:sz w:val="20"/>
                <w:szCs w:val="20"/>
                <w:lang w:eastAsia="pt-BR"/>
              </w:rPr>
            </w:pPr>
            <w:r w:rsidRPr="00E15ECF">
              <w:rPr>
                <w:rFonts w:eastAsia="Times New Roman"/>
                <w:color w:val="000000"/>
                <w:sz w:val="20"/>
                <w:szCs w:val="20"/>
                <w:lang w:eastAsia="pt-BR"/>
              </w:rPr>
              <w:t>Empresas ME de Taió</w:t>
            </w:r>
          </w:p>
        </w:tc>
        <w:tc>
          <w:tcPr>
            <w:tcW w:w="940" w:type="dxa"/>
            <w:tcBorders>
              <w:top w:val="nil"/>
              <w:left w:val="nil"/>
              <w:bottom w:val="single" w:sz="4" w:space="0" w:color="auto"/>
              <w:right w:val="nil"/>
            </w:tcBorders>
            <w:shd w:val="clear" w:color="auto" w:fill="auto"/>
            <w:noWrap/>
            <w:vAlign w:val="bottom"/>
            <w:hideMark/>
          </w:tcPr>
          <w:p w14:paraId="5D18DE98" w14:textId="77777777" w:rsidR="00E15ECF" w:rsidRPr="00E15ECF" w:rsidRDefault="00E15ECF" w:rsidP="00E15ECF">
            <w:pPr>
              <w:jc w:val="center"/>
              <w:rPr>
                <w:rFonts w:eastAsia="Times New Roman"/>
                <w:color w:val="000000"/>
                <w:sz w:val="20"/>
                <w:szCs w:val="20"/>
                <w:lang w:eastAsia="pt-BR"/>
              </w:rPr>
            </w:pPr>
            <w:r w:rsidRPr="00E15ECF">
              <w:rPr>
                <w:rFonts w:eastAsia="Times New Roman"/>
                <w:color w:val="000000"/>
                <w:sz w:val="20"/>
                <w:szCs w:val="20"/>
                <w:lang w:eastAsia="pt-BR"/>
              </w:rPr>
              <w:t>76</w:t>
            </w:r>
          </w:p>
        </w:tc>
        <w:tc>
          <w:tcPr>
            <w:tcW w:w="769" w:type="dxa"/>
            <w:tcBorders>
              <w:top w:val="nil"/>
              <w:left w:val="nil"/>
              <w:bottom w:val="single" w:sz="4" w:space="0" w:color="auto"/>
              <w:right w:val="nil"/>
            </w:tcBorders>
            <w:shd w:val="clear" w:color="auto" w:fill="auto"/>
            <w:noWrap/>
            <w:vAlign w:val="bottom"/>
            <w:hideMark/>
          </w:tcPr>
          <w:p w14:paraId="1E20567F" w14:textId="77777777" w:rsidR="00E15ECF" w:rsidRPr="00E15ECF" w:rsidRDefault="00E15ECF" w:rsidP="00E15ECF">
            <w:pPr>
              <w:jc w:val="center"/>
              <w:rPr>
                <w:rFonts w:eastAsia="Times New Roman"/>
                <w:color w:val="000000"/>
                <w:sz w:val="20"/>
                <w:szCs w:val="20"/>
                <w:lang w:eastAsia="pt-BR"/>
              </w:rPr>
            </w:pPr>
            <w:r w:rsidRPr="00E15ECF">
              <w:rPr>
                <w:rFonts w:eastAsia="Times New Roman"/>
                <w:color w:val="000000"/>
                <w:sz w:val="20"/>
                <w:szCs w:val="20"/>
                <w:lang w:eastAsia="pt-BR"/>
              </w:rPr>
              <w:t>54%</w:t>
            </w:r>
          </w:p>
        </w:tc>
        <w:tc>
          <w:tcPr>
            <w:tcW w:w="2552" w:type="dxa"/>
            <w:tcBorders>
              <w:top w:val="nil"/>
              <w:left w:val="nil"/>
              <w:bottom w:val="single" w:sz="4" w:space="0" w:color="auto"/>
              <w:right w:val="nil"/>
            </w:tcBorders>
            <w:shd w:val="clear" w:color="000000" w:fill="FFFFFF"/>
            <w:noWrap/>
            <w:vAlign w:val="bottom"/>
            <w:hideMark/>
          </w:tcPr>
          <w:p w14:paraId="59A3017B" w14:textId="77777777" w:rsidR="00E15ECF" w:rsidRPr="00E15ECF" w:rsidRDefault="00E15ECF" w:rsidP="00E15ECF">
            <w:pPr>
              <w:rPr>
                <w:rFonts w:eastAsia="Times New Roman"/>
                <w:color w:val="000000"/>
                <w:sz w:val="20"/>
                <w:szCs w:val="20"/>
                <w:lang w:eastAsia="pt-BR"/>
              </w:rPr>
            </w:pPr>
            <w:r w:rsidRPr="00E15ECF">
              <w:rPr>
                <w:rFonts w:eastAsia="Times New Roman"/>
                <w:color w:val="000000"/>
                <w:sz w:val="20"/>
                <w:szCs w:val="20"/>
                <w:lang w:eastAsia="pt-BR"/>
              </w:rPr>
              <w:t>Valor Empresas de Taió</w:t>
            </w:r>
          </w:p>
        </w:tc>
        <w:tc>
          <w:tcPr>
            <w:tcW w:w="1190" w:type="dxa"/>
            <w:tcBorders>
              <w:top w:val="nil"/>
              <w:left w:val="nil"/>
              <w:bottom w:val="single" w:sz="4" w:space="0" w:color="auto"/>
              <w:right w:val="nil"/>
            </w:tcBorders>
            <w:shd w:val="clear" w:color="000000" w:fill="FFFFFF"/>
            <w:noWrap/>
            <w:vAlign w:val="bottom"/>
            <w:hideMark/>
          </w:tcPr>
          <w:p w14:paraId="5D7CA020" w14:textId="77777777" w:rsidR="00E15ECF" w:rsidRPr="00E15ECF" w:rsidRDefault="00E15ECF" w:rsidP="00E15ECF">
            <w:pPr>
              <w:jc w:val="center"/>
              <w:rPr>
                <w:rFonts w:eastAsia="Times New Roman"/>
                <w:color w:val="000000"/>
                <w:sz w:val="20"/>
                <w:szCs w:val="20"/>
                <w:lang w:eastAsia="pt-BR"/>
              </w:rPr>
            </w:pPr>
            <w:r w:rsidRPr="00E15ECF">
              <w:rPr>
                <w:rFonts w:eastAsia="Times New Roman"/>
                <w:color w:val="000000"/>
                <w:sz w:val="20"/>
                <w:szCs w:val="20"/>
                <w:lang w:eastAsia="pt-BR"/>
              </w:rPr>
              <w:t>2.634.884,72</w:t>
            </w:r>
          </w:p>
        </w:tc>
        <w:tc>
          <w:tcPr>
            <w:tcW w:w="794" w:type="dxa"/>
            <w:tcBorders>
              <w:top w:val="nil"/>
              <w:left w:val="nil"/>
              <w:bottom w:val="single" w:sz="4" w:space="0" w:color="auto"/>
              <w:right w:val="nil"/>
            </w:tcBorders>
            <w:shd w:val="clear" w:color="auto" w:fill="auto"/>
            <w:noWrap/>
            <w:vAlign w:val="bottom"/>
            <w:hideMark/>
          </w:tcPr>
          <w:p w14:paraId="1117E0AB" w14:textId="77777777" w:rsidR="00E15ECF" w:rsidRPr="00E15ECF" w:rsidRDefault="00E15ECF" w:rsidP="00E15ECF">
            <w:pPr>
              <w:jc w:val="center"/>
              <w:rPr>
                <w:rFonts w:eastAsia="Times New Roman"/>
                <w:color w:val="000000"/>
                <w:sz w:val="20"/>
                <w:szCs w:val="20"/>
                <w:lang w:eastAsia="pt-BR"/>
              </w:rPr>
            </w:pPr>
            <w:r w:rsidRPr="00E15ECF">
              <w:rPr>
                <w:rFonts w:eastAsia="Times New Roman"/>
                <w:color w:val="000000"/>
                <w:sz w:val="20"/>
                <w:szCs w:val="20"/>
                <w:lang w:eastAsia="pt-BR"/>
              </w:rPr>
              <w:t>40%</w:t>
            </w:r>
          </w:p>
        </w:tc>
      </w:tr>
      <w:tr w:rsidR="00E15ECF" w:rsidRPr="00E15ECF" w14:paraId="57B334E0" w14:textId="77777777" w:rsidTr="00584D3C">
        <w:trPr>
          <w:trHeight w:val="300"/>
        </w:trPr>
        <w:tc>
          <w:tcPr>
            <w:tcW w:w="1976" w:type="dxa"/>
            <w:tcBorders>
              <w:top w:val="nil"/>
              <w:left w:val="nil"/>
              <w:bottom w:val="single" w:sz="4" w:space="0" w:color="auto"/>
              <w:right w:val="nil"/>
            </w:tcBorders>
            <w:shd w:val="clear" w:color="auto" w:fill="auto"/>
            <w:noWrap/>
            <w:vAlign w:val="bottom"/>
            <w:hideMark/>
          </w:tcPr>
          <w:p w14:paraId="52E8989E" w14:textId="77777777" w:rsidR="00E15ECF" w:rsidRPr="00E15ECF" w:rsidRDefault="00E15ECF" w:rsidP="00D14FEE">
            <w:pPr>
              <w:ind w:left="-69"/>
              <w:rPr>
                <w:rFonts w:eastAsia="Times New Roman"/>
                <w:color w:val="000000"/>
                <w:sz w:val="20"/>
                <w:szCs w:val="20"/>
                <w:lang w:eastAsia="pt-BR"/>
              </w:rPr>
            </w:pPr>
            <w:r w:rsidRPr="00E15ECF">
              <w:rPr>
                <w:rFonts w:eastAsia="Times New Roman"/>
                <w:color w:val="000000"/>
                <w:sz w:val="20"/>
                <w:szCs w:val="20"/>
                <w:lang w:eastAsia="pt-BR"/>
              </w:rPr>
              <w:t>Empresas ME do Alto Vale</w:t>
            </w:r>
          </w:p>
        </w:tc>
        <w:tc>
          <w:tcPr>
            <w:tcW w:w="940" w:type="dxa"/>
            <w:tcBorders>
              <w:top w:val="nil"/>
              <w:left w:val="nil"/>
              <w:bottom w:val="single" w:sz="4" w:space="0" w:color="auto"/>
              <w:right w:val="nil"/>
            </w:tcBorders>
            <w:shd w:val="clear" w:color="auto" w:fill="auto"/>
            <w:noWrap/>
            <w:vAlign w:val="bottom"/>
            <w:hideMark/>
          </w:tcPr>
          <w:p w14:paraId="4033C887" w14:textId="77777777" w:rsidR="00E15ECF" w:rsidRPr="00E15ECF" w:rsidRDefault="00E15ECF" w:rsidP="00E15ECF">
            <w:pPr>
              <w:jc w:val="center"/>
              <w:rPr>
                <w:rFonts w:eastAsia="Times New Roman"/>
                <w:color w:val="000000"/>
                <w:sz w:val="20"/>
                <w:szCs w:val="20"/>
                <w:lang w:eastAsia="pt-BR"/>
              </w:rPr>
            </w:pPr>
            <w:r w:rsidRPr="00E15ECF">
              <w:rPr>
                <w:rFonts w:eastAsia="Times New Roman"/>
                <w:color w:val="000000"/>
                <w:sz w:val="20"/>
                <w:szCs w:val="20"/>
                <w:lang w:eastAsia="pt-BR"/>
              </w:rPr>
              <w:t>26</w:t>
            </w:r>
          </w:p>
        </w:tc>
        <w:tc>
          <w:tcPr>
            <w:tcW w:w="769" w:type="dxa"/>
            <w:tcBorders>
              <w:top w:val="nil"/>
              <w:left w:val="nil"/>
              <w:bottom w:val="single" w:sz="4" w:space="0" w:color="auto"/>
              <w:right w:val="nil"/>
            </w:tcBorders>
            <w:shd w:val="clear" w:color="auto" w:fill="auto"/>
            <w:noWrap/>
            <w:vAlign w:val="bottom"/>
            <w:hideMark/>
          </w:tcPr>
          <w:p w14:paraId="1DA0C8CC" w14:textId="77777777" w:rsidR="00E15ECF" w:rsidRPr="00E15ECF" w:rsidRDefault="00E15ECF" w:rsidP="00E15ECF">
            <w:pPr>
              <w:jc w:val="center"/>
              <w:rPr>
                <w:rFonts w:eastAsia="Times New Roman"/>
                <w:color w:val="000000"/>
                <w:sz w:val="20"/>
                <w:szCs w:val="20"/>
                <w:lang w:eastAsia="pt-BR"/>
              </w:rPr>
            </w:pPr>
            <w:r w:rsidRPr="00E15ECF">
              <w:rPr>
                <w:rFonts w:eastAsia="Times New Roman"/>
                <w:color w:val="000000"/>
                <w:sz w:val="20"/>
                <w:szCs w:val="20"/>
                <w:lang w:eastAsia="pt-BR"/>
              </w:rPr>
              <w:t>18%</w:t>
            </w:r>
          </w:p>
        </w:tc>
        <w:tc>
          <w:tcPr>
            <w:tcW w:w="2552" w:type="dxa"/>
            <w:tcBorders>
              <w:top w:val="nil"/>
              <w:left w:val="nil"/>
              <w:bottom w:val="single" w:sz="4" w:space="0" w:color="auto"/>
              <w:right w:val="nil"/>
            </w:tcBorders>
            <w:shd w:val="clear" w:color="000000" w:fill="FFFFFF"/>
            <w:noWrap/>
            <w:vAlign w:val="bottom"/>
            <w:hideMark/>
          </w:tcPr>
          <w:p w14:paraId="3C440736" w14:textId="77777777" w:rsidR="00E15ECF" w:rsidRPr="00E15ECF" w:rsidRDefault="00E15ECF" w:rsidP="00E15ECF">
            <w:pPr>
              <w:rPr>
                <w:rFonts w:eastAsia="Times New Roman"/>
                <w:color w:val="000000"/>
                <w:sz w:val="20"/>
                <w:szCs w:val="20"/>
                <w:lang w:eastAsia="pt-BR"/>
              </w:rPr>
            </w:pPr>
            <w:r w:rsidRPr="00E15ECF">
              <w:rPr>
                <w:rFonts w:eastAsia="Times New Roman"/>
                <w:color w:val="000000"/>
                <w:sz w:val="20"/>
                <w:szCs w:val="20"/>
                <w:lang w:eastAsia="pt-BR"/>
              </w:rPr>
              <w:t>Valor Empresas do Alto Vale</w:t>
            </w:r>
          </w:p>
        </w:tc>
        <w:tc>
          <w:tcPr>
            <w:tcW w:w="1190" w:type="dxa"/>
            <w:tcBorders>
              <w:top w:val="nil"/>
              <w:left w:val="nil"/>
              <w:bottom w:val="single" w:sz="4" w:space="0" w:color="auto"/>
              <w:right w:val="nil"/>
            </w:tcBorders>
            <w:shd w:val="clear" w:color="000000" w:fill="FFFFFF"/>
            <w:noWrap/>
            <w:vAlign w:val="bottom"/>
            <w:hideMark/>
          </w:tcPr>
          <w:p w14:paraId="18D578F0" w14:textId="77777777" w:rsidR="00E15ECF" w:rsidRPr="00E15ECF" w:rsidRDefault="00E15ECF" w:rsidP="00E15ECF">
            <w:pPr>
              <w:jc w:val="center"/>
              <w:rPr>
                <w:rFonts w:eastAsia="Times New Roman"/>
                <w:color w:val="000000"/>
                <w:sz w:val="20"/>
                <w:szCs w:val="20"/>
                <w:lang w:eastAsia="pt-BR"/>
              </w:rPr>
            </w:pPr>
            <w:r w:rsidRPr="00E15ECF">
              <w:rPr>
                <w:rFonts w:eastAsia="Times New Roman"/>
                <w:color w:val="000000"/>
                <w:sz w:val="20"/>
                <w:szCs w:val="20"/>
                <w:lang w:eastAsia="pt-BR"/>
              </w:rPr>
              <w:t>1.741.017,32</w:t>
            </w:r>
          </w:p>
        </w:tc>
        <w:tc>
          <w:tcPr>
            <w:tcW w:w="794" w:type="dxa"/>
            <w:tcBorders>
              <w:top w:val="nil"/>
              <w:left w:val="nil"/>
              <w:bottom w:val="single" w:sz="4" w:space="0" w:color="auto"/>
              <w:right w:val="nil"/>
            </w:tcBorders>
            <w:shd w:val="clear" w:color="auto" w:fill="auto"/>
            <w:noWrap/>
            <w:vAlign w:val="bottom"/>
            <w:hideMark/>
          </w:tcPr>
          <w:p w14:paraId="508D4C41" w14:textId="77777777" w:rsidR="00E15ECF" w:rsidRPr="00E15ECF" w:rsidRDefault="00E15ECF" w:rsidP="00E15ECF">
            <w:pPr>
              <w:jc w:val="center"/>
              <w:rPr>
                <w:rFonts w:eastAsia="Times New Roman"/>
                <w:color w:val="000000"/>
                <w:sz w:val="20"/>
                <w:szCs w:val="20"/>
                <w:lang w:eastAsia="pt-BR"/>
              </w:rPr>
            </w:pPr>
            <w:r w:rsidRPr="00E15ECF">
              <w:rPr>
                <w:rFonts w:eastAsia="Times New Roman"/>
                <w:color w:val="000000"/>
                <w:sz w:val="20"/>
                <w:szCs w:val="20"/>
                <w:lang w:eastAsia="pt-BR"/>
              </w:rPr>
              <w:t>26%</w:t>
            </w:r>
          </w:p>
        </w:tc>
      </w:tr>
      <w:tr w:rsidR="00E15ECF" w:rsidRPr="00E15ECF" w14:paraId="38AE0776" w14:textId="77777777" w:rsidTr="00584D3C">
        <w:trPr>
          <w:trHeight w:val="300"/>
        </w:trPr>
        <w:tc>
          <w:tcPr>
            <w:tcW w:w="1976" w:type="dxa"/>
            <w:tcBorders>
              <w:top w:val="nil"/>
              <w:left w:val="nil"/>
              <w:bottom w:val="single" w:sz="4" w:space="0" w:color="auto"/>
              <w:right w:val="nil"/>
            </w:tcBorders>
            <w:shd w:val="clear" w:color="auto" w:fill="auto"/>
            <w:noWrap/>
            <w:vAlign w:val="bottom"/>
            <w:hideMark/>
          </w:tcPr>
          <w:p w14:paraId="1100585C" w14:textId="77777777" w:rsidR="00E15ECF" w:rsidRPr="00E15ECF" w:rsidRDefault="00E15ECF" w:rsidP="00D14FEE">
            <w:pPr>
              <w:ind w:left="-69"/>
              <w:rPr>
                <w:rFonts w:eastAsia="Times New Roman"/>
                <w:color w:val="000000"/>
                <w:sz w:val="20"/>
                <w:szCs w:val="20"/>
                <w:lang w:eastAsia="pt-BR"/>
              </w:rPr>
            </w:pPr>
            <w:r w:rsidRPr="00E15ECF">
              <w:rPr>
                <w:rFonts w:eastAsia="Times New Roman"/>
                <w:color w:val="000000"/>
                <w:sz w:val="20"/>
                <w:szCs w:val="20"/>
                <w:lang w:eastAsia="pt-BR"/>
              </w:rPr>
              <w:t>Empresas ME de fora</w:t>
            </w:r>
          </w:p>
        </w:tc>
        <w:tc>
          <w:tcPr>
            <w:tcW w:w="940" w:type="dxa"/>
            <w:tcBorders>
              <w:top w:val="nil"/>
              <w:left w:val="nil"/>
              <w:bottom w:val="single" w:sz="4" w:space="0" w:color="auto"/>
              <w:right w:val="nil"/>
            </w:tcBorders>
            <w:shd w:val="clear" w:color="auto" w:fill="auto"/>
            <w:noWrap/>
            <w:vAlign w:val="bottom"/>
            <w:hideMark/>
          </w:tcPr>
          <w:p w14:paraId="554A72E0" w14:textId="77777777" w:rsidR="00E15ECF" w:rsidRPr="00E15ECF" w:rsidRDefault="00E15ECF" w:rsidP="00E15ECF">
            <w:pPr>
              <w:jc w:val="center"/>
              <w:rPr>
                <w:rFonts w:eastAsia="Times New Roman"/>
                <w:color w:val="000000"/>
                <w:sz w:val="20"/>
                <w:szCs w:val="20"/>
                <w:lang w:eastAsia="pt-BR"/>
              </w:rPr>
            </w:pPr>
            <w:r w:rsidRPr="00E15ECF">
              <w:rPr>
                <w:rFonts w:eastAsia="Times New Roman"/>
                <w:color w:val="000000"/>
                <w:sz w:val="20"/>
                <w:szCs w:val="20"/>
                <w:lang w:eastAsia="pt-BR"/>
              </w:rPr>
              <w:t>39</w:t>
            </w:r>
          </w:p>
        </w:tc>
        <w:tc>
          <w:tcPr>
            <w:tcW w:w="769" w:type="dxa"/>
            <w:tcBorders>
              <w:top w:val="nil"/>
              <w:left w:val="nil"/>
              <w:bottom w:val="single" w:sz="4" w:space="0" w:color="auto"/>
              <w:right w:val="nil"/>
            </w:tcBorders>
            <w:shd w:val="clear" w:color="auto" w:fill="auto"/>
            <w:noWrap/>
            <w:vAlign w:val="bottom"/>
            <w:hideMark/>
          </w:tcPr>
          <w:p w14:paraId="2425D0B8" w14:textId="77777777" w:rsidR="00E15ECF" w:rsidRPr="00E15ECF" w:rsidRDefault="00E15ECF" w:rsidP="00E15ECF">
            <w:pPr>
              <w:jc w:val="center"/>
              <w:rPr>
                <w:rFonts w:eastAsia="Times New Roman"/>
                <w:color w:val="000000"/>
                <w:sz w:val="20"/>
                <w:szCs w:val="20"/>
                <w:lang w:eastAsia="pt-BR"/>
              </w:rPr>
            </w:pPr>
            <w:r w:rsidRPr="00E15ECF">
              <w:rPr>
                <w:rFonts w:eastAsia="Times New Roman"/>
                <w:color w:val="000000"/>
                <w:sz w:val="20"/>
                <w:szCs w:val="20"/>
                <w:lang w:eastAsia="pt-BR"/>
              </w:rPr>
              <w:t>28%</w:t>
            </w:r>
          </w:p>
        </w:tc>
        <w:tc>
          <w:tcPr>
            <w:tcW w:w="2552" w:type="dxa"/>
            <w:tcBorders>
              <w:top w:val="nil"/>
              <w:left w:val="nil"/>
              <w:bottom w:val="single" w:sz="4" w:space="0" w:color="auto"/>
              <w:right w:val="nil"/>
            </w:tcBorders>
            <w:shd w:val="clear" w:color="000000" w:fill="FFFFFF"/>
            <w:noWrap/>
            <w:vAlign w:val="bottom"/>
            <w:hideMark/>
          </w:tcPr>
          <w:p w14:paraId="59C4F869" w14:textId="77777777" w:rsidR="00E15ECF" w:rsidRPr="00E15ECF" w:rsidRDefault="00E15ECF" w:rsidP="00E15ECF">
            <w:pPr>
              <w:rPr>
                <w:rFonts w:eastAsia="Times New Roman"/>
                <w:color w:val="000000"/>
                <w:sz w:val="20"/>
                <w:szCs w:val="20"/>
                <w:lang w:eastAsia="pt-BR"/>
              </w:rPr>
            </w:pPr>
            <w:r w:rsidRPr="00E15ECF">
              <w:rPr>
                <w:rFonts w:eastAsia="Times New Roman"/>
                <w:color w:val="000000"/>
                <w:sz w:val="20"/>
                <w:szCs w:val="20"/>
                <w:lang w:eastAsia="pt-BR"/>
              </w:rPr>
              <w:t>Valor Empresas de Fora</w:t>
            </w:r>
          </w:p>
        </w:tc>
        <w:tc>
          <w:tcPr>
            <w:tcW w:w="1190" w:type="dxa"/>
            <w:tcBorders>
              <w:top w:val="nil"/>
              <w:left w:val="nil"/>
              <w:bottom w:val="single" w:sz="4" w:space="0" w:color="auto"/>
              <w:right w:val="nil"/>
            </w:tcBorders>
            <w:shd w:val="clear" w:color="000000" w:fill="FFFFFF"/>
            <w:noWrap/>
            <w:vAlign w:val="bottom"/>
            <w:hideMark/>
          </w:tcPr>
          <w:p w14:paraId="747ABE9D" w14:textId="77777777" w:rsidR="00E15ECF" w:rsidRPr="00E15ECF" w:rsidRDefault="00E15ECF" w:rsidP="00E15ECF">
            <w:pPr>
              <w:jc w:val="center"/>
              <w:rPr>
                <w:rFonts w:eastAsia="Times New Roman"/>
                <w:color w:val="000000"/>
                <w:sz w:val="20"/>
                <w:szCs w:val="20"/>
                <w:lang w:eastAsia="pt-BR"/>
              </w:rPr>
            </w:pPr>
            <w:r w:rsidRPr="00E15ECF">
              <w:rPr>
                <w:rFonts w:eastAsia="Times New Roman"/>
                <w:color w:val="000000"/>
                <w:sz w:val="20"/>
                <w:szCs w:val="20"/>
                <w:lang w:eastAsia="pt-BR"/>
              </w:rPr>
              <w:t>2.199.448,57</w:t>
            </w:r>
          </w:p>
        </w:tc>
        <w:tc>
          <w:tcPr>
            <w:tcW w:w="794" w:type="dxa"/>
            <w:tcBorders>
              <w:top w:val="nil"/>
              <w:left w:val="nil"/>
              <w:bottom w:val="single" w:sz="4" w:space="0" w:color="auto"/>
              <w:right w:val="nil"/>
            </w:tcBorders>
            <w:shd w:val="clear" w:color="auto" w:fill="auto"/>
            <w:noWrap/>
            <w:vAlign w:val="bottom"/>
            <w:hideMark/>
          </w:tcPr>
          <w:p w14:paraId="23EF9183" w14:textId="77777777" w:rsidR="00E15ECF" w:rsidRPr="00E15ECF" w:rsidRDefault="00E15ECF" w:rsidP="00E15ECF">
            <w:pPr>
              <w:jc w:val="center"/>
              <w:rPr>
                <w:rFonts w:eastAsia="Times New Roman"/>
                <w:color w:val="000000"/>
                <w:sz w:val="20"/>
                <w:szCs w:val="20"/>
                <w:lang w:eastAsia="pt-BR"/>
              </w:rPr>
            </w:pPr>
            <w:r w:rsidRPr="00E15ECF">
              <w:rPr>
                <w:rFonts w:eastAsia="Times New Roman"/>
                <w:color w:val="000000"/>
                <w:sz w:val="20"/>
                <w:szCs w:val="20"/>
                <w:lang w:eastAsia="pt-BR"/>
              </w:rPr>
              <w:t>33%</w:t>
            </w:r>
          </w:p>
        </w:tc>
      </w:tr>
    </w:tbl>
    <w:p w14:paraId="2B4CEC1D" w14:textId="73CA4F89" w:rsidR="006D57F8" w:rsidRDefault="00584D3C" w:rsidP="00584D3C">
      <w:pPr>
        <w:spacing w:after="160" w:line="259" w:lineRule="auto"/>
        <w:ind w:left="284"/>
        <w:rPr>
          <w:sz w:val="20"/>
          <w:szCs w:val="20"/>
        </w:rPr>
      </w:pPr>
      <w:r>
        <w:rPr>
          <w:sz w:val="20"/>
          <w:szCs w:val="20"/>
        </w:rPr>
        <w:t>Fonte: Dados da pesquisa (2021)</w:t>
      </w:r>
    </w:p>
    <w:p w14:paraId="1553C41C" w14:textId="6BFB86CB" w:rsidR="006D57F8" w:rsidRDefault="006D57F8" w:rsidP="00916ED5">
      <w:pPr>
        <w:spacing w:after="160" w:line="360" w:lineRule="auto"/>
        <w:rPr>
          <w:sz w:val="20"/>
          <w:szCs w:val="20"/>
        </w:rPr>
      </w:pPr>
    </w:p>
    <w:p w14:paraId="581F6D12" w14:textId="0F82388C" w:rsidR="00584D3C" w:rsidRDefault="00944E08" w:rsidP="00916ED5">
      <w:pPr>
        <w:pStyle w:val="UnidaviTexto-Espao15"/>
      </w:pPr>
      <w:r>
        <w:lastRenderedPageBreak/>
        <w:t>A Tabela 5 demonstra que no ano de</w:t>
      </w:r>
      <w:r w:rsidR="00297333">
        <w:t xml:space="preserve"> 2017, </w:t>
      </w:r>
      <w:r w:rsidR="008B3046">
        <w:t>d</w:t>
      </w:r>
      <w:r w:rsidR="003629B7">
        <w:t>as 211 participações vencedoras das licitaç</w:t>
      </w:r>
      <w:r w:rsidR="008B3046">
        <w:t>ões no município de Taió</w:t>
      </w:r>
      <w:r w:rsidR="003629B7">
        <w:t>, constatou-se que 141 foram de emp</w:t>
      </w:r>
      <w:r w:rsidR="00166214">
        <w:t>resas enquadradas como Microe</w:t>
      </w:r>
      <w:r w:rsidR="003629B7">
        <w:t>mpr</w:t>
      </w:r>
      <w:r w:rsidR="00916ED5">
        <w:t>esa e Empresas de Pequeno Porte</w:t>
      </w:r>
    </w:p>
    <w:p w14:paraId="58473964" w14:textId="77777777" w:rsidR="006B4F46" w:rsidRDefault="006B4F46" w:rsidP="00916ED5">
      <w:pPr>
        <w:pStyle w:val="UnidaviTexto-Espao15"/>
      </w:pPr>
    </w:p>
    <w:p w14:paraId="5A993125" w14:textId="38816332" w:rsidR="00584D3C" w:rsidRPr="00584D3C" w:rsidRDefault="00584D3C" w:rsidP="00584D3C">
      <w:pPr>
        <w:pStyle w:val="UnidaviTexto-Espao15"/>
        <w:spacing w:line="240" w:lineRule="auto"/>
        <w:ind w:left="284" w:firstLine="0"/>
        <w:contextualSpacing/>
        <w:rPr>
          <w:b/>
          <w:sz w:val="20"/>
        </w:rPr>
      </w:pPr>
      <w:r w:rsidRPr="007F2776">
        <w:rPr>
          <w:b/>
          <w:sz w:val="20"/>
        </w:rPr>
        <w:t>Gr</w:t>
      </w:r>
      <w:r>
        <w:rPr>
          <w:b/>
          <w:sz w:val="20"/>
        </w:rPr>
        <w:t>áfico 6</w:t>
      </w:r>
      <w:r w:rsidRPr="007F2776">
        <w:rPr>
          <w:b/>
          <w:sz w:val="20"/>
        </w:rPr>
        <w:t xml:space="preserve"> – </w:t>
      </w:r>
      <w:r>
        <w:rPr>
          <w:b/>
          <w:sz w:val="20"/>
        </w:rPr>
        <w:t>Quantidade de participações ME/EPP por região no ano 2017</w:t>
      </w:r>
    </w:p>
    <w:p w14:paraId="5271E7FF" w14:textId="39BF4566" w:rsidR="003629B7" w:rsidRDefault="003629B7" w:rsidP="00584D3C">
      <w:pPr>
        <w:pStyle w:val="UnidaviTexto-Espao15"/>
        <w:tabs>
          <w:tab w:val="left" w:pos="8505"/>
        </w:tabs>
        <w:spacing w:line="240" w:lineRule="auto"/>
        <w:ind w:left="284" w:right="283" w:firstLine="0"/>
        <w:contextualSpacing/>
      </w:pPr>
      <w:r>
        <w:rPr>
          <w:noProof/>
        </w:rPr>
        <w:drawing>
          <wp:inline distT="0" distB="0" distL="0" distR="0" wp14:anchorId="79D625F4" wp14:editId="6A34929E">
            <wp:extent cx="5210354" cy="2957830"/>
            <wp:effectExtent l="0" t="0" r="9525" b="1397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69B7A1" w14:textId="608A3C1C" w:rsidR="00297333" w:rsidRPr="001E0F72" w:rsidRDefault="00584D3C" w:rsidP="00584D3C">
      <w:pPr>
        <w:pStyle w:val="UnidaviTexto-Espao15"/>
        <w:spacing w:line="240" w:lineRule="auto"/>
        <w:ind w:left="284" w:firstLine="0"/>
        <w:contextualSpacing/>
        <w:rPr>
          <w:sz w:val="20"/>
        </w:rPr>
      </w:pPr>
      <w:r>
        <w:rPr>
          <w:sz w:val="20"/>
        </w:rPr>
        <w:t>Fonte: Dados da pesquisa (2021)</w:t>
      </w:r>
    </w:p>
    <w:p w14:paraId="3776B7BC" w14:textId="10E7856D" w:rsidR="00D35B8D" w:rsidRDefault="00D35B8D" w:rsidP="003753CE">
      <w:pPr>
        <w:spacing w:after="160"/>
        <w:rPr>
          <w:sz w:val="20"/>
          <w:szCs w:val="20"/>
        </w:rPr>
      </w:pPr>
    </w:p>
    <w:p w14:paraId="641CDC24" w14:textId="5296D854" w:rsidR="006B4F46" w:rsidRDefault="00944E08" w:rsidP="00944E08">
      <w:pPr>
        <w:pStyle w:val="UnidaviTexto-Espao15"/>
      </w:pPr>
      <w:r>
        <w:t>O Gráfico 6 ilustra que d</w:t>
      </w:r>
      <w:r w:rsidR="00297333">
        <w:t>essas 141 participações, identificou-se que 76 foram de empresas do município de Taió, representando ce</w:t>
      </w:r>
      <w:r w:rsidR="008B3046">
        <w:t>rca de 54% do total</w:t>
      </w:r>
      <w:r w:rsidR="00297333">
        <w:t>. Em relação ao Alto Vale do Itajaí constatou-se 26 participações, representando um total de 18%. Já as participações de fora do Alto Vale do Itajaí foram 39 cerca de 28% do total das participações.</w:t>
      </w:r>
    </w:p>
    <w:p w14:paraId="4D4F2FF0" w14:textId="55785BC8" w:rsidR="006B4F46" w:rsidRDefault="006B4F46" w:rsidP="003753CE">
      <w:pPr>
        <w:pStyle w:val="UnidaviTexto-Espao15"/>
        <w:spacing w:line="240" w:lineRule="auto"/>
        <w:ind w:firstLine="0"/>
      </w:pPr>
    </w:p>
    <w:p w14:paraId="09E665B5" w14:textId="5D7D06CB" w:rsidR="00C624C8" w:rsidRPr="008B3046" w:rsidRDefault="00584D3C" w:rsidP="006B4F46">
      <w:pPr>
        <w:pStyle w:val="UnidaviTexto-Espao15"/>
        <w:spacing w:line="240" w:lineRule="auto"/>
        <w:ind w:left="284" w:firstLine="0"/>
        <w:contextualSpacing/>
      </w:pPr>
      <w:r w:rsidRPr="007F2776">
        <w:rPr>
          <w:b/>
          <w:sz w:val="20"/>
        </w:rPr>
        <w:t>Gr</w:t>
      </w:r>
      <w:r>
        <w:rPr>
          <w:b/>
          <w:sz w:val="20"/>
        </w:rPr>
        <w:t>áfico 7</w:t>
      </w:r>
      <w:r w:rsidRPr="007F2776">
        <w:rPr>
          <w:b/>
          <w:sz w:val="20"/>
        </w:rPr>
        <w:t xml:space="preserve"> – </w:t>
      </w:r>
      <w:r>
        <w:rPr>
          <w:b/>
          <w:sz w:val="20"/>
        </w:rPr>
        <w:t>Valor das empresas ME/EPP por região no ano</w:t>
      </w:r>
      <w:r w:rsidRPr="007F2776">
        <w:rPr>
          <w:b/>
          <w:sz w:val="20"/>
        </w:rPr>
        <w:t xml:space="preserve"> 2017</w:t>
      </w:r>
    </w:p>
    <w:p w14:paraId="7B96A3AF" w14:textId="0A3BE1A0" w:rsidR="00581EE5" w:rsidRDefault="00DE14E4" w:rsidP="004806C7">
      <w:pPr>
        <w:tabs>
          <w:tab w:val="left" w:pos="8505"/>
        </w:tabs>
        <w:spacing w:after="160"/>
        <w:ind w:left="284" w:right="284"/>
        <w:contextualSpacing/>
        <w:rPr>
          <w:b/>
          <w:sz w:val="20"/>
        </w:rPr>
      </w:pPr>
      <w:r>
        <w:rPr>
          <w:noProof/>
          <w:lang w:eastAsia="pt-BR"/>
        </w:rPr>
        <w:drawing>
          <wp:inline distT="0" distB="0" distL="0" distR="0" wp14:anchorId="364B67AE" wp14:editId="5D531139">
            <wp:extent cx="5210175" cy="2579298"/>
            <wp:effectExtent l="0" t="0" r="9525" b="1206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FAA14B" w14:textId="1A553210" w:rsidR="008B3046" w:rsidRPr="00581EE5" w:rsidRDefault="004806C7" w:rsidP="006B4F46">
      <w:pPr>
        <w:spacing w:after="160"/>
        <w:ind w:left="284" w:right="283"/>
        <w:contextualSpacing/>
        <w:rPr>
          <w:sz w:val="20"/>
          <w:szCs w:val="20"/>
        </w:rPr>
      </w:pPr>
      <w:r>
        <w:rPr>
          <w:sz w:val="20"/>
        </w:rPr>
        <w:t>Fonte: Dados da pesquisa (2021)</w:t>
      </w:r>
    </w:p>
    <w:p w14:paraId="72E3E4DA" w14:textId="0B0A6326" w:rsidR="00C624C8" w:rsidRDefault="00C624C8" w:rsidP="00916ED5">
      <w:pPr>
        <w:pStyle w:val="UnidaviTexto-Espao15"/>
        <w:ind w:firstLine="0"/>
        <w:contextualSpacing/>
        <w:rPr>
          <w:sz w:val="20"/>
        </w:rPr>
      </w:pPr>
    </w:p>
    <w:p w14:paraId="288A517E" w14:textId="46A8F207" w:rsidR="00C624C8" w:rsidRPr="00C624C8" w:rsidRDefault="00944E08" w:rsidP="00C624C8">
      <w:pPr>
        <w:pStyle w:val="UnidaviTexto-Espao15"/>
      </w:pPr>
      <w:r>
        <w:lastRenderedPageBreak/>
        <w:t>Conforme apresentado o Gráfico 7</w:t>
      </w:r>
      <w:r w:rsidR="00C624C8">
        <w:t>, o valor maior ficou com empresas ME/EPP do município de Taió representado por R$ 2.634.884,72. Em seguida ficaram as empresas ME/EPP de fora do Alto Vale do Itajaí com um valor de 2.199.448,57 e as empresas do Alto Vale do Itajaí representaram um valor de 1.741.017,32. Pode-se observar que 40% do val</w:t>
      </w:r>
      <w:r w:rsidR="00EB4101">
        <w:t>or total vencido pelas Microe</w:t>
      </w:r>
      <w:r w:rsidR="00C624C8">
        <w:t>mpresas e pelas Empresas de Pequen</w:t>
      </w:r>
      <w:r w:rsidR="00991799">
        <w:t>o Porte voltou para o Município através das empresas locais.</w:t>
      </w:r>
    </w:p>
    <w:p w14:paraId="0695612F" w14:textId="77777777" w:rsidR="003629B7" w:rsidRDefault="003629B7" w:rsidP="003753CE">
      <w:pPr>
        <w:spacing w:after="160"/>
        <w:rPr>
          <w:sz w:val="20"/>
          <w:szCs w:val="20"/>
        </w:rPr>
      </w:pPr>
    </w:p>
    <w:p w14:paraId="478F7042" w14:textId="7C64D670" w:rsidR="006D57F8" w:rsidRDefault="006D57F8" w:rsidP="006D57F8">
      <w:pPr>
        <w:pStyle w:val="UNIDAVISEOSECUNDARIA"/>
      </w:pPr>
      <w:r>
        <w:t>4.2 licitações no município de taió – ano 2018</w:t>
      </w:r>
    </w:p>
    <w:p w14:paraId="3CC984DA" w14:textId="6FB59016" w:rsidR="00D84D8F" w:rsidRDefault="00D84D8F" w:rsidP="00916ED5">
      <w:pPr>
        <w:pStyle w:val="UNIDAVISEOSECUNDARIA"/>
        <w:spacing w:line="360" w:lineRule="auto"/>
      </w:pPr>
    </w:p>
    <w:p w14:paraId="461F163E" w14:textId="43D0B43F" w:rsidR="00D84D8F" w:rsidRPr="00B12D73" w:rsidRDefault="00D054BB" w:rsidP="00B12D73">
      <w:pPr>
        <w:pStyle w:val="UnidaviTexto-Espao15"/>
      </w:pPr>
      <w:r>
        <w:t>No ano de 2018</w:t>
      </w:r>
      <w:r w:rsidR="00B12D73" w:rsidRPr="00B12D73">
        <w:t>, o município de Tai</w:t>
      </w:r>
      <w:r>
        <w:t>ó teve um total de 94</w:t>
      </w:r>
      <w:r w:rsidR="00B12D73" w:rsidRPr="00B12D73">
        <w:t xml:space="preserve"> licitações homologadas</w:t>
      </w:r>
      <w:r>
        <w:t>, das quais 92</w:t>
      </w:r>
      <w:r w:rsidR="00B12D73" w:rsidRPr="00B12D73">
        <w:t xml:space="preserve"> foram para a prefeitura e </w:t>
      </w:r>
      <w:r>
        <w:t>2</w:t>
      </w:r>
      <w:r w:rsidR="00083269">
        <w:t xml:space="preserve"> foram</w:t>
      </w:r>
      <w:r w:rsidR="00B12D73" w:rsidRPr="00B12D73">
        <w:t xml:space="preserve"> para a câmara de vereadores. Em relação aos valores, o valor de referência total informado no</w:t>
      </w:r>
      <w:r w:rsidR="00083269">
        <w:t>s editais foi</w:t>
      </w:r>
      <w:r w:rsidR="00B12D73" w:rsidRPr="00B12D73">
        <w:t xml:space="preserve"> de R$ </w:t>
      </w:r>
      <w:r>
        <w:t>16.868.939,86 para o ano de 2018</w:t>
      </w:r>
      <w:r w:rsidR="00B12D73" w:rsidRPr="00B12D73">
        <w:t xml:space="preserve">, já o valor total que foi homologado, ou seja, pago pelo município foi o valor de R$ </w:t>
      </w:r>
      <w:r w:rsidR="009E2E16">
        <w:t>14.452.743,90 conforme demonstra a Tabela 6.</w:t>
      </w:r>
    </w:p>
    <w:p w14:paraId="65831031" w14:textId="617DBB19" w:rsidR="006D57F8" w:rsidRPr="00584D3C" w:rsidRDefault="006D57F8" w:rsidP="00916ED5">
      <w:pPr>
        <w:pStyle w:val="UNIDAVISEOSECUNDARIA"/>
        <w:spacing w:line="360" w:lineRule="auto"/>
        <w:rPr>
          <w:b/>
        </w:rPr>
      </w:pPr>
    </w:p>
    <w:p w14:paraId="4F12C754" w14:textId="1F96796F" w:rsidR="006D57F8" w:rsidRPr="00584D3C" w:rsidRDefault="009E2E16" w:rsidP="00584D3C">
      <w:pPr>
        <w:ind w:left="284"/>
        <w:rPr>
          <w:b/>
          <w:sz w:val="20"/>
          <w:szCs w:val="20"/>
        </w:rPr>
      </w:pPr>
      <w:r>
        <w:rPr>
          <w:b/>
          <w:sz w:val="20"/>
          <w:szCs w:val="20"/>
        </w:rPr>
        <w:t xml:space="preserve">Tabela </w:t>
      </w:r>
      <w:r w:rsidR="00D84D8F" w:rsidRPr="00584D3C">
        <w:rPr>
          <w:b/>
          <w:sz w:val="20"/>
          <w:szCs w:val="20"/>
        </w:rPr>
        <w:t>6 – Valor das licitações no ano 2018</w:t>
      </w:r>
    </w:p>
    <w:tbl>
      <w:tblPr>
        <w:tblW w:w="8221" w:type="dxa"/>
        <w:tblInd w:w="284" w:type="dxa"/>
        <w:tblCellMar>
          <w:left w:w="70" w:type="dxa"/>
          <w:right w:w="70" w:type="dxa"/>
        </w:tblCellMar>
        <w:tblLook w:val="04A0" w:firstRow="1" w:lastRow="0" w:firstColumn="1" w:lastColumn="0" w:noHBand="0" w:noVBand="1"/>
      </w:tblPr>
      <w:tblGrid>
        <w:gridCol w:w="1417"/>
        <w:gridCol w:w="709"/>
        <w:gridCol w:w="992"/>
        <w:gridCol w:w="2268"/>
        <w:gridCol w:w="1290"/>
        <w:gridCol w:w="1545"/>
      </w:tblGrid>
      <w:tr w:rsidR="00D84D8F" w:rsidRPr="00D84D8F" w14:paraId="0483B368" w14:textId="77777777" w:rsidTr="00584D3C">
        <w:trPr>
          <w:trHeight w:val="300"/>
        </w:trPr>
        <w:tc>
          <w:tcPr>
            <w:tcW w:w="1417" w:type="dxa"/>
            <w:tcBorders>
              <w:top w:val="single" w:sz="4" w:space="0" w:color="auto"/>
              <w:left w:val="nil"/>
              <w:bottom w:val="single" w:sz="4" w:space="0" w:color="auto"/>
              <w:right w:val="nil"/>
            </w:tcBorders>
            <w:shd w:val="clear" w:color="000000" w:fill="FFFFFF"/>
            <w:noWrap/>
            <w:vAlign w:val="center"/>
            <w:hideMark/>
          </w:tcPr>
          <w:p w14:paraId="19E770BF" w14:textId="77777777" w:rsidR="00D84D8F" w:rsidRPr="00D84D8F" w:rsidRDefault="00D84D8F" w:rsidP="00D14FEE">
            <w:pPr>
              <w:ind w:left="-69"/>
              <w:rPr>
                <w:rFonts w:eastAsia="Times New Roman"/>
                <w:b/>
                <w:bCs/>
                <w:color w:val="000000"/>
                <w:sz w:val="20"/>
                <w:szCs w:val="20"/>
                <w:lang w:eastAsia="pt-BR"/>
              </w:rPr>
            </w:pPr>
            <w:r w:rsidRPr="00D84D8F">
              <w:rPr>
                <w:rFonts w:eastAsia="Times New Roman"/>
                <w:b/>
                <w:bCs/>
                <w:color w:val="000000"/>
                <w:sz w:val="20"/>
                <w:szCs w:val="20"/>
                <w:lang w:eastAsia="pt-BR"/>
              </w:rPr>
              <w:t>Homologadas</w:t>
            </w:r>
          </w:p>
        </w:tc>
        <w:tc>
          <w:tcPr>
            <w:tcW w:w="709" w:type="dxa"/>
            <w:tcBorders>
              <w:top w:val="single" w:sz="4" w:space="0" w:color="auto"/>
              <w:left w:val="nil"/>
              <w:bottom w:val="single" w:sz="4" w:space="0" w:color="auto"/>
              <w:right w:val="nil"/>
            </w:tcBorders>
            <w:shd w:val="clear" w:color="000000" w:fill="FFFFFF"/>
            <w:noWrap/>
            <w:vAlign w:val="center"/>
            <w:hideMark/>
          </w:tcPr>
          <w:p w14:paraId="5EDCFE37" w14:textId="77777777" w:rsidR="00D84D8F" w:rsidRPr="00D84D8F" w:rsidRDefault="00D84D8F" w:rsidP="00D84D8F">
            <w:pPr>
              <w:jc w:val="center"/>
              <w:rPr>
                <w:rFonts w:eastAsia="Times New Roman"/>
                <w:b/>
                <w:bCs/>
                <w:color w:val="000000"/>
                <w:sz w:val="20"/>
                <w:szCs w:val="20"/>
                <w:lang w:eastAsia="pt-BR"/>
              </w:rPr>
            </w:pPr>
            <w:r w:rsidRPr="00D84D8F">
              <w:rPr>
                <w:rFonts w:eastAsia="Times New Roman"/>
                <w:b/>
                <w:bCs/>
                <w:color w:val="000000"/>
                <w:sz w:val="20"/>
                <w:szCs w:val="20"/>
                <w:lang w:eastAsia="pt-BR"/>
              </w:rPr>
              <w:t>Total</w:t>
            </w:r>
          </w:p>
        </w:tc>
        <w:tc>
          <w:tcPr>
            <w:tcW w:w="992" w:type="dxa"/>
            <w:tcBorders>
              <w:top w:val="single" w:sz="4" w:space="0" w:color="auto"/>
              <w:left w:val="nil"/>
              <w:bottom w:val="single" w:sz="4" w:space="0" w:color="auto"/>
              <w:right w:val="nil"/>
            </w:tcBorders>
            <w:shd w:val="clear" w:color="000000" w:fill="FFFFFF"/>
            <w:noWrap/>
            <w:vAlign w:val="center"/>
            <w:hideMark/>
          </w:tcPr>
          <w:p w14:paraId="5F1171F9" w14:textId="77777777" w:rsidR="00D84D8F" w:rsidRPr="00D84D8F" w:rsidRDefault="00D84D8F" w:rsidP="00D84D8F">
            <w:pPr>
              <w:jc w:val="center"/>
              <w:rPr>
                <w:rFonts w:eastAsia="Times New Roman"/>
                <w:b/>
                <w:bCs/>
                <w:color w:val="000000"/>
                <w:sz w:val="20"/>
                <w:szCs w:val="20"/>
                <w:lang w:eastAsia="pt-BR"/>
              </w:rPr>
            </w:pPr>
            <w:r w:rsidRPr="00D84D8F">
              <w:rPr>
                <w:rFonts w:eastAsia="Times New Roman"/>
                <w:b/>
                <w:bCs/>
                <w:color w:val="000000"/>
                <w:sz w:val="20"/>
                <w:szCs w:val="20"/>
                <w:lang w:eastAsia="pt-BR"/>
              </w:rPr>
              <w:t>%</w:t>
            </w:r>
          </w:p>
        </w:tc>
        <w:tc>
          <w:tcPr>
            <w:tcW w:w="2268" w:type="dxa"/>
            <w:tcBorders>
              <w:top w:val="single" w:sz="4" w:space="0" w:color="auto"/>
              <w:left w:val="nil"/>
              <w:bottom w:val="single" w:sz="4" w:space="0" w:color="auto"/>
              <w:right w:val="nil"/>
            </w:tcBorders>
            <w:shd w:val="clear" w:color="auto" w:fill="auto"/>
            <w:noWrap/>
            <w:vAlign w:val="center"/>
            <w:hideMark/>
          </w:tcPr>
          <w:p w14:paraId="3B4E502C" w14:textId="77777777" w:rsidR="00D84D8F" w:rsidRPr="00D84D8F" w:rsidRDefault="00D84D8F" w:rsidP="00D84D8F">
            <w:pPr>
              <w:jc w:val="center"/>
              <w:rPr>
                <w:rFonts w:eastAsia="Times New Roman"/>
                <w:b/>
                <w:bCs/>
                <w:color w:val="000000"/>
                <w:sz w:val="20"/>
                <w:szCs w:val="20"/>
                <w:lang w:eastAsia="pt-BR"/>
              </w:rPr>
            </w:pPr>
            <w:r w:rsidRPr="00D84D8F">
              <w:rPr>
                <w:rFonts w:eastAsia="Times New Roman"/>
                <w:b/>
                <w:bCs/>
                <w:color w:val="000000"/>
                <w:sz w:val="20"/>
                <w:szCs w:val="20"/>
                <w:lang w:eastAsia="pt-BR"/>
              </w:rPr>
              <w:t>Classe</w:t>
            </w:r>
          </w:p>
        </w:tc>
        <w:tc>
          <w:tcPr>
            <w:tcW w:w="1290" w:type="dxa"/>
            <w:tcBorders>
              <w:top w:val="single" w:sz="4" w:space="0" w:color="auto"/>
              <w:left w:val="nil"/>
              <w:bottom w:val="single" w:sz="4" w:space="0" w:color="auto"/>
              <w:right w:val="nil"/>
            </w:tcBorders>
            <w:shd w:val="clear" w:color="000000" w:fill="FFFFFF"/>
            <w:noWrap/>
            <w:vAlign w:val="center"/>
            <w:hideMark/>
          </w:tcPr>
          <w:p w14:paraId="46668558" w14:textId="77777777" w:rsidR="00D84D8F" w:rsidRPr="00D84D8F" w:rsidRDefault="00D84D8F" w:rsidP="00D84D8F">
            <w:pPr>
              <w:jc w:val="center"/>
              <w:rPr>
                <w:rFonts w:eastAsia="Times New Roman"/>
                <w:b/>
                <w:bCs/>
                <w:color w:val="000000"/>
                <w:sz w:val="20"/>
                <w:szCs w:val="20"/>
                <w:lang w:eastAsia="pt-BR"/>
              </w:rPr>
            </w:pPr>
            <w:r w:rsidRPr="00D84D8F">
              <w:rPr>
                <w:rFonts w:eastAsia="Times New Roman"/>
                <w:b/>
                <w:bCs/>
                <w:color w:val="000000"/>
                <w:sz w:val="20"/>
                <w:szCs w:val="20"/>
                <w:lang w:eastAsia="pt-BR"/>
              </w:rPr>
              <w:t>Valores:</w:t>
            </w:r>
          </w:p>
        </w:tc>
        <w:tc>
          <w:tcPr>
            <w:tcW w:w="1545" w:type="dxa"/>
            <w:tcBorders>
              <w:top w:val="single" w:sz="4" w:space="0" w:color="auto"/>
              <w:left w:val="nil"/>
              <w:bottom w:val="single" w:sz="4" w:space="0" w:color="auto"/>
              <w:right w:val="nil"/>
            </w:tcBorders>
            <w:shd w:val="clear" w:color="000000" w:fill="FFFFFF"/>
            <w:noWrap/>
            <w:vAlign w:val="center"/>
            <w:hideMark/>
          </w:tcPr>
          <w:p w14:paraId="6616673E" w14:textId="77777777" w:rsidR="00D84D8F" w:rsidRPr="00D84D8F" w:rsidRDefault="00D84D8F" w:rsidP="00D84D8F">
            <w:pPr>
              <w:jc w:val="center"/>
              <w:rPr>
                <w:rFonts w:eastAsia="Times New Roman"/>
                <w:b/>
                <w:bCs/>
                <w:color w:val="000000"/>
                <w:sz w:val="20"/>
                <w:szCs w:val="20"/>
                <w:lang w:eastAsia="pt-BR"/>
              </w:rPr>
            </w:pPr>
            <w:r w:rsidRPr="00D84D8F">
              <w:rPr>
                <w:rFonts w:eastAsia="Times New Roman"/>
                <w:b/>
                <w:bCs/>
                <w:color w:val="000000"/>
                <w:sz w:val="20"/>
                <w:szCs w:val="20"/>
                <w:lang w:eastAsia="pt-BR"/>
              </w:rPr>
              <w:t>%</w:t>
            </w:r>
          </w:p>
        </w:tc>
      </w:tr>
      <w:tr w:rsidR="00D84D8F" w:rsidRPr="00D84D8F" w14:paraId="5F7F4524" w14:textId="77777777" w:rsidTr="00584D3C">
        <w:trPr>
          <w:trHeight w:val="300"/>
        </w:trPr>
        <w:tc>
          <w:tcPr>
            <w:tcW w:w="1417" w:type="dxa"/>
            <w:tcBorders>
              <w:top w:val="nil"/>
              <w:left w:val="nil"/>
              <w:bottom w:val="single" w:sz="4" w:space="0" w:color="auto"/>
              <w:right w:val="nil"/>
            </w:tcBorders>
            <w:shd w:val="clear" w:color="auto" w:fill="auto"/>
            <w:noWrap/>
            <w:vAlign w:val="center"/>
            <w:hideMark/>
          </w:tcPr>
          <w:p w14:paraId="4B865640" w14:textId="77777777" w:rsidR="00D84D8F" w:rsidRPr="00D84D8F" w:rsidRDefault="00D84D8F" w:rsidP="00D14FEE">
            <w:pPr>
              <w:ind w:left="-69"/>
              <w:rPr>
                <w:rFonts w:eastAsia="Times New Roman"/>
                <w:color w:val="000000"/>
                <w:sz w:val="20"/>
                <w:szCs w:val="20"/>
                <w:lang w:eastAsia="pt-BR"/>
              </w:rPr>
            </w:pPr>
            <w:r w:rsidRPr="00D84D8F">
              <w:rPr>
                <w:rFonts w:eastAsia="Times New Roman"/>
                <w:color w:val="000000"/>
                <w:sz w:val="20"/>
                <w:szCs w:val="20"/>
                <w:lang w:eastAsia="pt-BR"/>
              </w:rPr>
              <w:t>Ano 2018</w:t>
            </w:r>
          </w:p>
        </w:tc>
        <w:tc>
          <w:tcPr>
            <w:tcW w:w="709" w:type="dxa"/>
            <w:tcBorders>
              <w:top w:val="nil"/>
              <w:left w:val="nil"/>
              <w:bottom w:val="single" w:sz="4" w:space="0" w:color="auto"/>
              <w:right w:val="nil"/>
            </w:tcBorders>
            <w:shd w:val="clear" w:color="auto" w:fill="auto"/>
            <w:noWrap/>
            <w:vAlign w:val="center"/>
            <w:hideMark/>
          </w:tcPr>
          <w:p w14:paraId="7BA7BB4D" w14:textId="77777777" w:rsidR="00D84D8F" w:rsidRPr="00D84D8F" w:rsidRDefault="00D84D8F" w:rsidP="00D84D8F">
            <w:pPr>
              <w:jc w:val="center"/>
              <w:rPr>
                <w:rFonts w:eastAsia="Times New Roman"/>
                <w:color w:val="000000"/>
                <w:sz w:val="20"/>
                <w:szCs w:val="20"/>
                <w:lang w:eastAsia="pt-BR"/>
              </w:rPr>
            </w:pPr>
            <w:r w:rsidRPr="00D84D8F">
              <w:rPr>
                <w:rFonts w:eastAsia="Times New Roman"/>
                <w:color w:val="000000"/>
                <w:sz w:val="20"/>
                <w:szCs w:val="20"/>
                <w:lang w:eastAsia="pt-BR"/>
              </w:rPr>
              <w:t>94</w:t>
            </w:r>
          </w:p>
        </w:tc>
        <w:tc>
          <w:tcPr>
            <w:tcW w:w="992" w:type="dxa"/>
            <w:tcBorders>
              <w:top w:val="nil"/>
              <w:left w:val="nil"/>
              <w:bottom w:val="single" w:sz="4" w:space="0" w:color="auto"/>
              <w:right w:val="nil"/>
            </w:tcBorders>
            <w:shd w:val="clear" w:color="000000" w:fill="FFFFFF"/>
            <w:noWrap/>
            <w:vAlign w:val="center"/>
            <w:hideMark/>
          </w:tcPr>
          <w:p w14:paraId="6CC961F2" w14:textId="77777777" w:rsidR="00D84D8F" w:rsidRPr="00D84D8F" w:rsidRDefault="00D84D8F" w:rsidP="00D84D8F">
            <w:pPr>
              <w:jc w:val="center"/>
              <w:rPr>
                <w:rFonts w:eastAsia="Times New Roman"/>
                <w:color w:val="000000"/>
                <w:sz w:val="20"/>
                <w:szCs w:val="20"/>
                <w:lang w:eastAsia="pt-BR"/>
              </w:rPr>
            </w:pPr>
            <w:r w:rsidRPr="00D84D8F">
              <w:rPr>
                <w:rFonts w:eastAsia="Times New Roman"/>
                <w:color w:val="000000"/>
                <w:sz w:val="20"/>
                <w:szCs w:val="20"/>
                <w:lang w:eastAsia="pt-BR"/>
              </w:rPr>
              <w:t>100%</w:t>
            </w:r>
          </w:p>
        </w:tc>
        <w:tc>
          <w:tcPr>
            <w:tcW w:w="2268" w:type="dxa"/>
            <w:tcBorders>
              <w:top w:val="nil"/>
              <w:left w:val="nil"/>
              <w:bottom w:val="single" w:sz="4" w:space="0" w:color="auto"/>
              <w:right w:val="nil"/>
            </w:tcBorders>
            <w:shd w:val="clear" w:color="000000" w:fill="FFFFFF"/>
            <w:noWrap/>
            <w:vAlign w:val="center"/>
            <w:hideMark/>
          </w:tcPr>
          <w:p w14:paraId="04BF6D30" w14:textId="77777777" w:rsidR="00D84D8F" w:rsidRPr="00D84D8F" w:rsidRDefault="00D84D8F" w:rsidP="00D84D8F">
            <w:pPr>
              <w:jc w:val="center"/>
              <w:rPr>
                <w:rFonts w:eastAsia="Times New Roman"/>
                <w:color w:val="000000"/>
                <w:sz w:val="20"/>
                <w:szCs w:val="20"/>
                <w:lang w:eastAsia="pt-BR"/>
              </w:rPr>
            </w:pPr>
            <w:r w:rsidRPr="00D84D8F">
              <w:rPr>
                <w:rFonts w:eastAsia="Times New Roman"/>
                <w:color w:val="000000"/>
                <w:sz w:val="20"/>
                <w:szCs w:val="20"/>
                <w:lang w:eastAsia="pt-BR"/>
              </w:rPr>
              <w:t>Referência</w:t>
            </w:r>
          </w:p>
        </w:tc>
        <w:tc>
          <w:tcPr>
            <w:tcW w:w="1290" w:type="dxa"/>
            <w:tcBorders>
              <w:top w:val="nil"/>
              <w:left w:val="nil"/>
              <w:bottom w:val="single" w:sz="4" w:space="0" w:color="auto"/>
              <w:right w:val="nil"/>
            </w:tcBorders>
            <w:shd w:val="clear" w:color="000000" w:fill="FFFFFF"/>
            <w:noWrap/>
            <w:vAlign w:val="center"/>
            <w:hideMark/>
          </w:tcPr>
          <w:p w14:paraId="3ECC900C" w14:textId="77777777" w:rsidR="00D84D8F" w:rsidRPr="00D84D8F" w:rsidRDefault="00D84D8F" w:rsidP="00D84D8F">
            <w:pPr>
              <w:jc w:val="center"/>
              <w:rPr>
                <w:rFonts w:eastAsia="Times New Roman"/>
                <w:color w:val="000000"/>
                <w:sz w:val="20"/>
                <w:szCs w:val="20"/>
                <w:lang w:eastAsia="pt-BR"/>
              </w:rPr>
            </w:pPr>
            <w:r w:rsidRPr="00D84D8F">
              <w:rPr>
                <w:rFonts w:eastAsia="Times New Roman"/>
                <w:color w:val="000000"/>
                <w:sz w:val="20"/>
                <w:szCs w:val="20"/>
                <w:lang w:eastAsia="pt-BR"/>
              </w:rPr>
              <w:t>16.868.939,86</w:t>
            </w:r>
          </w:p>
        </w:tc>
        <w:tc>
          <w:tcPr>
            <w:tcW w:w="1545" w:type="dxa"/>
            <w:tcBorders>
              <w:top w:val="nil"/>
              <w:left w:val="nil"/>
              <w:bottom w:val="single" w:sz="4" w:space="0" w:color="auto"/>
              <w:right w:val="nil"/>
            </w:tcBorders>
            <w:shd w:val="clear" w:color="000000" w:fill="FFFFFF"/>
            <w:noWrap/>
            <w:vAlign w:val="center"/>
            <w:hideMark/>
          </w:tcPr>
          <w:p w14:paraId="48BEEC62" w14:textId="77777777" w:rsidR="00D84D8F" w:rsidRPr="00D84D8F" w:rsidRDefault="00D84D8F" w:rsidP="00D84D8F">
            <w:pPr>
              <w:jc w:val="center"/>
              <w:rPr>
                <w:rFonts w:eastAsia="Times New Roman"/>
                <w:color w:val="000000"/>
                <w:sz w:val="20"/>
                <w:szCs w:val="20"/>
                <w:lang w:eastAsia="pt-BR"/>
              </w:rPr>
            </w:pPr>
            <w:r w:rsidRPr="00D84D8F">
              <w:rPr>
                <w:rFonts w:eastAsia="Times New Roman"/>
                <w:color w:val="000000"/>
                <w:sz w:val="20"/>
                <w:szCs w:val="20"/>
                <w:lang w:eastAsia="pt-BR"/>
              </w:rPr>
              <w:t>100%</w:t>
            </w:r>
          </w:p>
        </w:tc>
      </w:tr>
      <w:tr w:rsidR="00D84D8F" w:rsidRPr="00D84D8F" w14:paraId="1B100B0F" w14:textId="77777777" w:rsidTr="00584D3C">
        <w:trPr>
          <w:trHeight w:val="300"/>
        </w:trPr>
        <w:tc>
          <w:tcPr>
            <w:tcW w:w="1417" w:type="dxa"/>
            <w:tcBorders>
              <w:top w:val="nil"/>
              <w:left w:val="nil"/>
              <w:bottom w:val="single" w:sz="4" w:space="0" w:color="auto"/>
              <w:right w:val="nil"/>
            </w:tcBorders>
            <w:shd w:val="clear" w:color="000000" w:fill="FFFFFF"/>
            <w:noWrap/>
            <w:vAlign w:val="center"/>
            <w:hideMark/>
          </w:tcPr>
          <w:p w14:paraId="308C523E" w14:textId="77777777" w:rsidR="00D84D8F" w:rsidRPr="00D84D8F" w:rsidRDefault="00D84D8F" w:rsidP="00D14FEE">
            <w:pPr>
              <w:ind w:left="-69"/>
              <w:rPr>
                <w:rFonts w:eastAsia="Times New Roman"/>
                <w:color w:val="000000"/>
                <w:sz w:val="20"/>
                <w:szCs w:val="20"/>
                <w:lang w:eastAsia="pt-BR"/>
              </w:rPr>
            </w:pPr>
            <w:r w:rsidRPr="00D84D8F">
              <w:rPr>
                <w:rFonts w:eastAsia="Times New Roman"/>
                <w:color w:val="000000"/>
                <w:sz w:val="20"/>
                <w:szCs w:val="20"/>
                <w:lang w:eastAsia="pt-BR"/>
              </w:rPr>
              <w:t>Prefeitura</w:t>
            </w:r>
          </w:p>
        </w:tc>
        <w:tc>
          <w:tcPr>
            <w:tcW w:w="709" w:type="dxa"/>
            <w:tcBorders>
              <w:top w:val="nil"/>
              <w:left w:val="nil"/>
              <w:bottom w:val="single" w:sz="4" w:space="0" w:color="auto"/>
              <w:right w:val="nil"/>
            </w:tcBorders>
            <w:shd w:val="clear" w:color="000000" w:fill="FFFFFF"/>
            <w:noWrap/>
            <w:vAlign w:val="center"/>
            <w:hideMark/>
          </w:tcPr>
          <w:p w14:paraId="123BD809" w14:textId="77777777" w:rsidR="00D84D8F" w:rsidRPr="00D84D8F" w:rsidRDefault="00D84D8F" w:rsidP="00D84D8F">
            <w:pPr>
              <w:jc w:val="center"/>
              <w:rPr>
                <w:rFonts w:eastAsia="Times New Roman"/>
                <w:color w:val="000000"/>
                <w:sz w:val="20"/>
                <w:szCs w:val="20"/>
                <w:lang w:eastAsia="pt-BR"/>
              </w:rPr>
            </w:pPr>
            <w:r w:rsidRPr="00D84D8F">
              <w:rPr>
                <w:rFonts w:eastAsia="Times New Roman"/>
                <w:color w:val="000000"/>
                <w:sz w:val="20"/>
                <w:szCs w:val="20"/>
                <w:lang w:eastAsia="pt-BR"/>
              </w:rPr>
              <w:t>92</w:t>
            </w:r>
          </w:p>
        </w:tc>
        <w:tc>
          <w:tcPr>
            <w:tcW w:w="992" w:type="dxa"/>
            <w:tcBorders>
              <w:top w:val="nil"/>
              <w:left w:val="nil"/>
              <w:bottom w:val="single" w:sz="4" w:space="0" w:color="auto"/>
              <w:right w:val="nil"/>
            </w:tcBorders>
            <w:shd w:val="clear" w:color="000000" w:fill="FFFFFF"/>
            <w:noWrap/>
            <w:vAlign w:val="center"/>
            <w:hideMark/>
          </w:tcPr>
          <w:p w14:paraId="1CDB9E00" w14:textId="77777777" w:rsidR="00D84D8F" w:rsidRPr="00D84D8F" w:rsidRDefault="00D84D8F" w:rsidP="00D84D8F">
            <w:pPr>
              <w:jc w:val="center"/>
              <w:rPr>
                <w:rFonts w:eastAsia="Times New Roman"/>
                <w:color w:val="000000"/>
                <w:sz w:val="20"/>
                <w:szCs w:val="20"/>
                <w:lang w:eastAsia="pt-BR"/>
              </w:rPr>
            </w:pPr>
            <w:r w:rsidRPr="00D84D8F">
              <w:rPr>
                <w:rFonts w:eastAsia="Times New Roman"/>
                <w:color w:val="000000"/>
                <w:sz w:val="20"/>
                <w:szCs w:val="20"/>
                <w:lang w:eastAsia="pt-BR"/>
              </w:rPr>
              <w:t>98%</w:t>
            </w:r>
          </w:p>
        </w:tc>
        <w:tc>
          <w:tcPr>
            <w:tcW w:w="2268" w:type="dxa"/>
            <w:tcBorders>
              <w:top w:val="nil"/>
              <w:left w:val="nil"/>
              <w:bottom w:val="single" w:sz="4" w:space="0" w:color="auto"/>
              <w:right w:val="nil"/>
            </w:tcBorders>
            <w:shd w:val="clear" w:color="000000" w:fill="FFFFFF"/>
            <w:noWrap/>
            <w:vAlign w:val="center"/>
            <w:hideMark/>
          </w:tcPr>
          <w:p w14:paraId="3049197A" w14:textId="77777777" w:rsidR="00D84D8F" w:rsidRPr="00D84D8F" w:rsidRDefault="00D84D8F" w:rsidP="00D84D8F">
            <w:pPr>
              <w:jc w:val="center"/>
              <w:rPr>
                <w:rFonts w:eastAsia="Times New Roman"/>
                <w:color w:val="000000"/>
                <w:sz w:val="20"/>
                <w:szCs w:val="20"/>
                <w:lang w:eastAsia="pt-BR"/>
              </w:rPr>
            </w:pPr>
            <w:r w:rsidRPr="00D84D8F">
              <w:rPr>
                <w:rFonts w:eastAsia="Times New Roman"/>
                <w:color w:val="000000"/>
                <w:sz w:val="20"/>
                <w:szCs w:val="20"/>
                <w:lang w:eastAsia="pt-BR"/>
              </w:rPr>
              <w:t>Homologados</w:t>
            </w:r>
          </w:p>
        </w:tc>
        <w:tc>
          <w:tcPr>
            <w:tcW w:w="1290" w:type="dxa"/>
            <w:tcBorders>
              <w:top w:val="nil"/>
              <w:left w:val="nil"/>
              <w:bottom w:val="single" w:sz="4" w:space="0" w:color="auto"/>
              <w:right w:val="nil"/>
            </w:tcBorders>
            <w:shd w:val="clear" w:color="000000" w:fill="FFFFFF"/>
            <w:noWrap/>
            <w:vAlign w:val="center"/>
            <w:hideMark/>
          </w:tcPr>
          <w:p w14:paraId="7F632EFD" w14:textId="77777777" w:rsidR="00D84D8F" w:rsidRPr="00D84D8F" w:rsidRDefault="00D84D8F" w:rsidP="00D84D8F">
            <w:pPr>
              <w:jc w:val="center"/>
              <w:rPr>
                <w:rFonts w:eastAsia="Times New Roman"/>
                <w:color w:val="000000"/>
                <w:sz w:val="20"/>
                <w:szCs w:val="20"/>
                <w:lang w:eastAsia="pt-BR"/>
              </w:rPr>
            </w:pPr>
            <w:r w:rsidRPr="00D84D8F">
              <w:rPr>
                <w:rFonts w:eastAsia="Times New Roman"/>
                <w:color w:val="000000"/>
                <w:sz w:val="20"/>
                <w:szCs w:val="20"/>
                <w:lang w:eastAsia="pt-BR"/>
              </w:rPr>
              <w:t>14.452.743,90</w:t>
            </w:r>
          </w:p>
        </w:tc>
        <w:tc>
          <w:tcPr>
            <w:tcW w:w="1545" w:type="dxa"/>
            <w:tcBorders>
              <w:top w:val="nil"/>
              <w:left w:val="nil"/>
              <w:bottom w:val="single" w:sz="4" w:space="0" w:color="auto"/>
              <w:right w:val="nil"/>
            </w:tcBorders>
            <w:shd w:val="clear" w:color="000000" w:fill="FFFFFF"/>
            <w:noWrap/>
            <w:vAlign w:val="center"/>
            <w:hideMark/>
          </w:tcPr>
          <w:p w14:paraId="1B0E9FAA" w14:textId="77777777" w:rsidR="00D84D8F" w:rsidRPr="00D84D8F" w:rsidRDefault="00D84D8F" w:rsidP="00D84D8F">
            <w:pPr>
              <w:jc w:val="center"/>
              <w:rPr>
                <w:rFonts w:eastAsia="Times New Roman"/>
                <w:color w:val="000000"/>
                <w:sz w:val="20"/>
                <w:szCs w:val="20"/>
                <w:lang w:eastAsia="pt-BR"/>
              </w:rPr>
            </w:pPr>
            <w:r w:rsidRPr="00D84D8F">
              <w:rPr>
                <w:rFonts w:eastAsia="Times New Roman"/>
                <w:color w:val="000000"/>
                <w:sz w:val="20"/>
                <w:szCs w:val="20"/>
                <w:lang w:eastAsia="pt-BR"/>
              </w:rPr>
              <w:t>86%</w:t>
            </w:r>
          </w:p>
        </w:tc>
      </w:tr>
      <w:tr w:rsidR="00D84D8F" w:rsidRPr="00D84D8F" w14:paraId="35E5D935" w14:textId="77777777" w:rsidTr="00584D3C">
        <w:trPr>
          <w:trHeight w:val="300"/>
        </w:trPr>
        <w:tc>
          <w:tcPr>
            <w:tcW w:w="1417" w:type="dxa"/>
            <w:tcBorders>
              <w:top w:val="nil"/>
              <w:left w:val="nil"/>
              <w:bottom w:val="single" w:sz="4" w:space="0" w:color="auto"/>
              <w:right w:val="nil"/>
            </w:tcBorders>
            <w:shd w:val="clear" w:color="000000" w:fill="FFFFFF"/>
            <w:noWrap/>
            <w:vAlign w:val="center"/>
            <w:hideMark/>
          </w:tcPr>
          <w:p w14:paraId="5185112B" w14:textId="77777777" w:rsidR="00D84D8F" w:rsidRPr="00D84D8F" w:rsidRDefault="00D84D8F" w:rsidP="00D14FEE">
            <w:pPr>
              <w:ind w:left="-69"/>
              <w:rPr>
                <w:rFonts w:eastAsia="Times New Roman"/>
                <w:color w:val="000000"/>
                <w:sz w:val="20"/>
                <w:szCs w:val="20"/>
                <w:lang w:eastAsia="pt-BR"/>
              </w:rPr>
            </w:pPr>
            <w:r w:rsidRPr="00D84D8F">
              <w:rPr>
                <w:rFonts w:eastAsia="Times New Roman"/>
                <w:color w:val="000000"/>
                <w:sz w:val="20"/>
                <w:szCs w:val="20"/>
                <w:lang w:eastAsia="pt-BR"/>
              </w:rPr>
              <w:t>Câmara de Vereadores</w:t>
            </w:r>
          </w:p>
        </w:tc>
        <w:tc>
          <w:tcPr>
            <w:tcW w:w="709" w:type="dxa"/>
            <w:tcBorders>
              <w:top w:val="nil"/>
              <w:left w:val="nil"/>
              <w:bottom w:val="single" w:sz="4" w:space="0" w:color="auto"/>
              <w:right w:val="nil"/>
            </w:tcBorders>
            <w:shd w:val="clear" w:color="000000" w:fill="FFFFFF"/>
            <w:noWrap/>
            <w:vAlign w:val="center"/>
            <w:hideMark/>
          </w:tcPr>
          <w:p w14:paraId="78F08CD6" w14:textId="77777777" w:rsidR="00D84D8F" w:rsidRPr="00D84D8F" w:rsidRDefault="00D84D8F" w:rsidP="00D84D8F">
            <w:pPr>
              <w:jc w:val="center"/>
              <w:rPr>
                <w:rFonts w:eastAsia="Times New Roman"/>
                <w:color w:val="000000"/>
                <w:sz w:val="20"/>
                <w:szCs w:val="20"/>
                <w:lang w:eastAsia="pt-BR"/>
              </w:rPr>
            </w:pPr>
            <w:r w:rsidRPr="00D84D8F">
              <w:rPr>
                <w:rFonts w:eastAsia="Times New Roman"/>
                <w:color w:val="000000"/>
                <w:sz w:val="20"/>
                <w:szCs w:val="20"/>
                <w:lang w:eastAsia="pt-BR"/>
              </w:rPr>
              <w:t>2</w:t>
            </w:r>
          </w:p>
        </w:tc>
        <w:tc>
          <w:tcPr>
            <w:tcW w:w="992" w:type="dxa"/>
            <w:tcBorders>
              <w:top w:val="nil"/>
              <w:left w:val="nil"/>
              <w:bottom w:val="single" w:sz="4" w:space="0" w:color="auto"/>
              <w:right w:val="nil"/>
            </w:tcBorders>
            <w:shd w:val="clear" w:color="000000" w:fill="FFFFFF"/>
            <w:noWrap/>
            <w:vAlign w:val="center"/>
            <w:hideMark/>
          </w:tcPr>
          <w:p w14:paraId="3F57F55D" w14:textId="77777777" w:rsidR="00D84D8F" w:rsidRPr="00D84D8F" w:rsidRDefault="00D84D8F" w:rsidP="00D84D8F">
            <w:pPr>
              <w:jc w:val="center"/>
              <w:rPr>
                <w:rFonts w:eastAsia="Times New Roman"/>
                <w:color w:val="000000"/>
                <w:sz w:val="20"/>
                <w:szCs w:val="20"/>
                <w:lang w:eastAsia="pt-BR"/>
              </w:rPr>
            </w:pPr>
            <w:r w:rsidRPr="00D84D8F">
              <w:rPr>
                <w:rFonts w:eastAsia="Times New Roman"/>
                <w:color w:val="000000"/>
                <w:sz w:val="20"/>
                <w:szCs w:val="20"/>
                <w:lang w:eastAsia="pt-BR"/>
              </w:rPr>
              <w:t>2%</w:t>
            </w:r>
          </w:p>
        </w:tc>
        <w:tc>
          <w:tcPr>
            <w:tcW w:w="2268" w:type="dxa"/>
            <w:tcBorders>
              <w:top w:val="nil"/>
              <w:left w:val="nil"/>
              <w:bottom w:val="single" w:sz="4" w:space="0" w:color="auto"/>
              <w:right w:val="nil"/>
            </w:tcBorders>
            <w:shd w:val="clear" w:color="000000" w:fill="FFFFFF"/>
            <w:noWrap/>
            <w:vAlign w:val="center"/>
            <w:hideMark/>
          </w:tcPr>
          <w:p w14:paraId="2C6CC1EF" w14:textId="77777777" w:rsidR="00D84D8F" w:rsidRPr="00D84D8F" w:rsidRDefault="00D84D8F" w:rsidP="00D84D8F">
            <w:pPr>
              <w:jc w:val="center"/>
              <w:rPr>
                <w:rFonts w:eastAsia="Times New Roman"/>
                <w:color w:val="000000"/>
                <w:sz w:val="20"/>
                <w:szCs w:val="20"/>
                <w:lang w:eastAsia="pt-BR"/>
              </w:rPr>
            </w:pPr>
            <w:r w:rsidRPr="00D84D8F">
              <w:rPr>
                <w:rFonts w:eastAsia="Times New Roman"/>
                <w:color w:val="000000"/>
                <w:sz w:val="20"/>
                <w:szCs w:val="20"/>
                <w:lang w:eastAsia="pt-BR"/>
              </w:rPr>
              <w:t>Diferença/economia</w:t>
            </w:r>
          </w:p>
        </w:tc>
        <w:tc>
          <w:tcPr>
            <w:tcW w:w="1290" w:type="dxa"/>
            <w:tcBorders>
              <w:top w:val="nil"/>
              <w:left w:val="nil"/>
              <w:bottom w:val="single" w:sz="4" w:space="0" w:color="auto"/>
              <w:right w:val="nil"/>
            </w:tcBorders>
            <w:shd w:val="clear" w:color="000000" w:fill="FFFFFF"/>
            <w:noWrap/>
            <w:vAlign w:val="center"/>
            <w:hideMark/>
          </w:tcPr>
          <w:p w14:paraId="6358BCCC" w14:textId="77777777" w:rsidR="00D84D8F" w:rsidRPr="00D84D8F" w:rsidRDefault="00D84D8F" w:rsidP="00D84D8F">
            <w:pPr>
              <w:jc w:val="center"/>
              <w:rPr>
                <w:rFonts w:eastAsia="Times New Roman"/>
                <w:color w:val="000000"/>
                <w:sz w:val="20"/>
                <w:szCs w:val="20"/>
                <w:lang w:eastAsia="pt-BR"/>
              </w:rPr>
            </w:pPr>
            <w:r w:rsidRPr="00D84D8F">
              <w:rPr>
                <w:rFonts w:eastAsia="Times New Roman"/>
                <w:color w:val="000000"/>
                <w:sz w:val="20"/>
                <w:szCs w:val="20"/>
                <w:lang w:eastAsia="pt-BR"/>
              </w:rPr>
              <w:t>2.416.195,96</w:t>
            </w:r>
          </w:p>
        </w:tc>
        <w:tc>
          <w:tcPr>
            <w:tcW w:w="1545" w:type="dxa"/>
            <w:tcBorders>
              <w:top w:val="nil"/>
              <w:left w:val="nil"/>
              <w:bottom w:val="single" w:sz="4" w:space="0" w:color="auto"/>
              <w:right w:val="nil"/>
            </w:tcBorders>
            <w:shd w:val="clear" w:color="000000" w:fill="FFFFFF"/>
            <w:noWrap/>
            <w:vAlign w:val="center"/>
            <w:hideMark/>
          </w:tcPr>
          <w:p w14:paraId="5E4FC92E" w14:textId="24C2235E" w:rsidR="00D84D8F" w:rsidRPr="00D84D8F" w:rsidRDefault="00083F9C" w:rsidP="00D84D8F">
            <w:pPr>
              <w:jc w:val="center"/>
              <w:rPr>
                <w:rFonts w:eastAsia="Times New Roman"/>
                <w:color w:val="000000"/>
                <w:sz w:val="20"/>
                <w:szCs w:val="20"/>
                <w:lang w:eastAsia="pt-BR"/>
              </w:rPr>
            </w:pPr>
            <w:r>
              <w:rPr>
                <w:rFonts w:eastAsia="Times New Roman"/>
                <w:color w:val="000000"/>
                <w:sz w:val="20"/>
                <w:szCs w:val="20"/>
                <w:lang w:eastAsia="pt-BR"/>
              </w:rPr>
              <w:t>14</w:t>
            </w:r>
            <w:r w:rsidR="00D84D8F" w:rsidRPr="00D84D8F">
              <w:rPr>
                <w:rFonts w:eastAsia="Times New Roman"/>
                <w:color w:val="000000"/>
                <w:sz w:val="20"/>
                <w:szCs w:val="20"/>
                <w:lang w:eastAsia="pt-BR"/>
              </w:rPr>
              <w:t>%</w:t>
            </w:r>
          </w:p>
        </w:tc>
      </w:tr>
    </w:tbl>
    <w:p w14:paraId="689D9E5E" w14:textId="7259E70A" w:rsidR="00D054BB" w:rsidRDefault="004806C7" w:rsidP="00584D3C">
      <w:pPr>
        <w:spacing w:after="160" w:line="259" w:lineRule="auto"/>
        <w:ind w:left="284"/>
        <w:rPr>
          <w:sz w:val="20"/>
          <w:szCs w:val="20"/>
        </w:rPr>
      </w:pPr>
      <w:r>
        <w:rPr>
          <w:sz w:val="20"/>
          <w:szCs w:val="20"/>
        </w:rPr>
        <w:t>Fonte: Dados da pesquisa (2021)</w:t>
      </w:r>
    </w:p>
    <w:p w14:paraId="29BC884E" w14:textId="77777777" w:rsidR="00584D3C" w:rsidRDefault="00584D3C" w:rsidP="003753CE">
      <w:pPr>
        <w:spacing w:after="160"/>
        <w:ind w:left="284"/>
        <w:rPr>
          <w:sz w:val="20"/>
          <w:szCs w:val="20"/>
        </w:rPr>
      </w:pPr>
    </w:p>
    <w:p w14:paraId="229AE61B" w14:textId="0BBE0ADF" w:rsidR="004806C7" w:rsidRDefault="00D054BB" w:rsidP="003753CE">
      <w:pPr>
        <w:pStyle w:val="UnidaviTexto-Espao15"/>
      </w:pPr>
      <w:r>
        <w:t>Pode</w:t>
      </w:r>
      <w:r w:rsidR="009E2E16">
        <w:t xml:space="preserve">-se observar conforme a tabela </w:t>
      </w:r>
      <w:r>
        <w:t xml:space="preserve">6, uma economia de R$ 2.416.195,96 </w:t>
      </w:r>
      <w:r w:rsidR="009E2E16">
        <w:t xml:space="preserve">no ano de 2018, </w:t>
      </w:r>
      <w:r>
        <w:t>pelo fato de existir o processo licitatório, que permite a disputa entre os participantes e, como consequência gera uma economia para a entidade requisitante, aqui repres</w:t>
      </w:r>
      <w:r w:rsidR="003753CE">
        <w:t xml:space="preserve">entada pelo município de Taió. </w:t>
      </w:r>
    </w:p>
    <w:p w14:paraId="14B3BFE4" w14:textId="77777777" w:rsidR="003753CE" w:rsidRDefault="003753CE" w:rsidP="003753CE">
      <w:pPr>
        <w:pStyle w:val="UnidaviTexto-Espao15"/>
        <w:spacing w:line="240" w:lineRule="auto"/>
      </w:pPr>
    </w:p>
    <w:p w14:paraId="6A0CCC00" w14:textId="1DA40594" w:rsidR="00D84D8F" w:rsidRPr="004806C7" w:rsidRDefault="004806C7" w:rsidP="004806C7">
      <w:pPr>
        <w:pStyle w:val="UnidaviTexto-Espao15"/>
        <w:spacing w:line="240" w:lineRule="auto"/>
        <w:ind w:left="284" w:firstLine="0"/>
        <w:contextualSpacing/>
        <w:rPr>
          <w:b/>
          <w:sz w:val="20"/>
        </w:rPr>
      </w:pPr>
      <w:r w:rsidRPr="007F2776">
        <w:rPr>
          <w:b/>
          <w:sz w:val="20"/>
        </w:rPr>
        <w:t>Gr</w:t>
      </w:r>
      <w:r>
        <w:rPr>
          <w:b/>
          <w:sz w:val="20"/>
        </w:rPr>
        <w:t>áfico 8</w:t>
      </w:r>
      <w:r w:rsidRPr="007F2776">
        <w:rPr>
          <w:b/>
          <w:sz w:val="20"/>
        </w:rPr>
        <w:t xml:space="preserve"> – Valor total/</w:t>
      </w:r>
      <w:r>
        <w:rPr>
          <w:b/>
          <w:sz w:val="20"/>
        </w:rPr>
        <w:t>economia no ano 2018</w:t>
      </w:r>
    </w:p>
    <w:p w14:paraId="4F633179" w14:textId="187B1350" w:rsidR="00D054BB" w:rsidRDefault="00D054BB" w:rsidP="004806C7">
      <w:pPr>
        <w:pStyle w:val="UnidaviTexto-Espao15"/>
        <w:tabs>
          <w:tab w:val="left" w:pos="8505"/>
          <w:tab w:val="left" w:pos="8789"/>
        </w:tabs>
        <w:spacing w:line="240" w:lineRule="auto"/>
        <w:ind w:left="284" w:right="283" w:firstLine="0"/>
      </w:pPr>
      <w:r>
        <w:rPr>
          <w:noProof/>
        </w:rPr>
        <w:drawing>
          <wp:inline distT="0" distB="0" distL="0" distR="0" wp14:anchorId="44A0A7F3" wp14:editId="46384DE5">
            <wp:extent cx="5210175" cy="1889185"/>
            <wp:effectExtent l="0" t="0" r="9525" b="1587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4C59FF" w14:textId="6C5C15DE" w:rsidR="00083F9C" w:rsidRDefault="004806C7" w:rsidP="00725279">
      <w:pPr>
        <w:pStyle w:val="UnidaviTexto-Espao15"/>
        <w:spacing w:line="240" w:lineRule="auto"/>
        <w:ind w:left="284" w:firstLine="0"/>
        <w:contextualSpacing/>
        <w:rPr>
          <w:sz w:val="20"/>
        </w:rPr>
      </w:pPr>
      <w:r>
        <w:rPr>
          <w:sz w:val="20"/>
        </w:rPr>
        <w:t>Fonte: Dados da pesquisa (2021)</w:t>
      </w:r>
    </w:p>
    <w:p w14:paraId="49ACAA86" w14:textId="77777777" w:rsidR="00725279" w:rsidRDefault="00725279" w:rsidP="006B4F46">
      <w:pPr>
        <w:pStyle w:val="UnidaviTexto-Espao15"/>
        <w:ind w:left="284" w:firstLine="0"/>
        <w:contextualSpacing/>
        <w:rPr>
          <w:sz w:val="20"/>
        </w:rPr>
      </w:pPr>
    </w:p>
    <w:p w14:paraId="08D185AC" w14:textId="3BE22F01" w:rsidR="00083F9C" w:rsidRDefault="009E2E16" w:rsidP="00725279">
      <w:pPr>
        <w:pStyle w:val="UnidaviTexto-Espao15"/>
      </w:pPr>
      <w:r>
        <w:lastRenderedPageBreak/>
        <w:t>O Gráfico 8 ilustra que c</w:t>
      </w:r>
      <w:r w:rsidR="00083F9C">
        <w:t>erca de 14 % do valor de referência foi economizado no ano de 2018 e puderam ser realocados pela gestão pública do município, conforme as necessidades da população.</w:t>
      </w:r>
    </w:p>
    <w:p w14:paraId="3CB23CC7" w14:textId="77777777" w:rsidR="004806C7" w:rsidRDefault="004806C7" w:rsidP="00725279">
      <w:pPr>
        <w:pStyle w:val="UnidaviTexto-Espao15"/>
      </w:pPr>
    </w:p>
    <w:p w14:paraId="545345BB" w14:textId="61D881FC" w:rsidR="0090608F" w:rsidRPr="004806C7" w:rsidRDefault="004806C7" w:rsidP="004806C7">
      <w:pPr>
        <w:pStyle w:val="UnidaviTexto-Espao15"/>
        <w:spacing w:line="240" w:lineRule="auto"/>
        <w:ind w:left="284" w:firstLine="0"/>
        <w:contextualSpacing/>
        <w:rPr>
          <w:b/>
          <w:sz w:val="20"/>
        </w:rPr>
      </w:pPr>
      <w:r>
        <w:rPr>
          <w:b/>
          <w:sz w:val="20"/>
        </w:rPr>
        <w:t>Gráfico 9</w:t>
      </w:r>
      <w:r w:rsidRPr="007F2776">
        <w:rPr>
          <w:b/>
          <w:sz w:val="20"/>
        </w:rPr>
        <w:t xml:space="preserve"> – </w:t>
      </w:r>
      <w:r>
        <w:rPr>
          <w:b/>
          <w:sz w:val="20"/>
        </w:rPr>
        <w:t>Áreas de aplicação dos recursos no ano 2018</w:t>
      </w:r>
    </w:p>
    <w:p w14:paraId="24F0BE28" w14:textId="75C29022" w:rsidR="0090608F" w:rsidRDefault="00A27534" w:rsidP="00A27534">
      <w:pPr>
        <w:pStyle w:val="UnidaviTexto-Espao15"/>
        <w:tabs>
          <w:tab w:val="left" w:pos="8505"/>
        </w:tabs>
        <w:spacing w:line="240" w:lineRule="auto"/>
        <w:ind w:left="284" w:right="284" w:firstLine="0"/>
      </w:pPr>
      <w:r>
        <w:rPr>
          <w:noProof/>
        </w:rPr>
        <w:drawing>
          <wp:inline distT="0" distB="0" distL="0" distR="0" wp14:anchorId="44205C57" wp14:editId="328A895E">
            <wp:extent cx="5253486" cy="2999105"/>
            <wp:effectExtent l="0" t="0" r="4445" b="10795"/>
            <wp:docPr id="192" name="Gráfico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5EBCD1" w14:textId="12C3EE08" w:rsidR="009654F4" w:rsidRPr="001E0F72" w:rsidRDefault="00776D33" w:rsidP="009654F4">
      <w:pPr>
        <w:pStyle w:val="UnidaviTexto-Espao15"/>
        <w:spacing w:line="240" w:lineRule="auto"/>
        <w:ind w:left="426" w:hanging="142"/>
        <w:contextualSpacing/>
        <w:rPr>
          <w:sz w:val="20"/>
        </w:rPr>
      </w:pPr>
      <w:r>
        <w:rPr>
          <w:sz w:val="20"/>
        </w:rPr>
        <w:t>Fonte: Dados da pesquisa (2021)</w:t>
      </w:r>
    </w:p>
    <w:p w14:paraId="6D7E572B" w14:textId="77777777" w:rsidR="009654F4" w:rsidRDefault="009654F4" w:rsidP="009654F4">
      <w:pPr>
        <w:pStyle w:val="UnidaviTexto-Espao15"/>
      </w:pPr>
    </w:p>
    <w:p w14:paraId="5944AD39" w14:textId="3E3CBE86" w:rsidR="009654F4" w:rsidRDefault="009654F4" w:rsidP="009654F4">
      <w:pPr>
        <w:pStyle w:val="UnidaviTexto-Espao15"/>
      </w:pPr>
      <w:r>
        <w:t xml:space="preserve">As áreas de aplicação dos recursos </w:t>
      </w:r>
      <w:r w:rsidR="009E2E16">
        <w:t xml:space="preserve">de acordo com o Gráfico 9, </w:t>
      </w:r>
      <w:r>
        <w:t xml:space="preserve">foram especificadas nos editais em 2018 apenas como câmara de vereadores, secretaria da saúde, assistência social e município de Taió. Não foram especificadas para quais secretarias os recursos foram enviados, pelo fato de o organograma do município estar organizado de uma forma em que as compras são feitas pelo município e realocadas conforme as necessidades de cada secretaria. Por esse motivo a pesquisa tornou-se limitada, pelo fato de não poder especificar os valores aplicados em cada espécie de bens e/ou serviços contratados pela administração. </w:t>
      </w:r>
    </w:p>
    <w:p w14:paraId="6901D393" w14:textId="0F3F0A80" w:rsidR="00083F9C" w:rsidRDefault="00083F9C" w:rsidP="00083F9C">
      <w:pPr>
        <w:pStyle w:val="UnidaviTexto-Espao15"/>
      </w:pPr>
      <w:r>
        <w:t xml:space="preserve">Ao que se refere às modalidades de licitação, </w:t>
      </w:r>
      <w:r w:rsidR="009E2E16">
        <w:t xml:space="preserve">a Tabela 7 aponta que </w:t>
      </w:r>
      <w:r>
        <w:t xml:space="preserve">no ano de 2018 foram utilizadas </w:t>
      </w:r>
      <w:r w:rsidR="0051727F">
        <w:t xml:space="preserve">quatro modalidades, mais as realizações feitas através de inexigibilidade e dispensa de licitação. </w:t>
      </w:r>
      <w:r w:rsidR="009E2E16">
        <w:t>Constatou-se que durante o ano,</w:t>
      </w:r>
      <w:r w:rsidR="007A12EA">
        <w:t xml:space="preserve"> </w:t>
      </w:r>
      <w:r>
        <w:t>a modalidade mais utilizada foi a modalidade Pregão Presencial, representada por 70 das 94 licitações homologadas.</w:t>
      </w:r>
    </w:p>
    <w:p w14:paraId="2C26CE13" w14:textId="52D34FC4" w:rsidR="004D7734" w:rsidRDefault="004D7734" w:rsidP="004806C7">
      <w:pPr>
        <w:pStyle w:val="UNIDAVISEOSECUNDARIA"/>
        <w:spacing w:line="360" w:lineRule="auto"/>
      </w:pPr>
    </w:p>
    <w:p w14:paraId="765D6C47" w14:textId="36452D2E" w:rsidR="004D7734" w:rsidRPr="004806C7" w:rsidRDefault="009E2E16" w:rsidP="004806C7">
      <w:pPr>
        <w:pStyle w:val="UnidaviTexto-Espao15"/>
        <w:spacing w:line="240" w:lineRule="auto"/>
        <w:ind w:left="284" w:firstLine="0"/>
        <w:rPr>
          <w:rFonts w:cs="Times New Roman"/>
          <w:b/>
          <w:sz w:val="20"/>
          <w:szCs w:val="20"/>
        </w:rPr>
      </w:pPr>
      <w:r>
        <w:rPr>
          <w:rFonts w:cs="Times New Roman"/>
          <w:b/>
          <w:sz w:val="20"/>
          <w:szCs w:val="20"/>
        </w:rPr>
        <w:t xml:space="preserve">Tabela </w:t>
      </w:r>
      <w:r w:rsidR="004D7734" w:rsidRPr="004806C7">
        <w:rPr>
          <w:rFonts w:cs="Times New Roman"/>
          <w:b/>
          <w:sz w:val="20"/>
          <w:szCs w:val="20"/>
        </w:rPr>
        <w:t>7 – Descritivo das modalidades de licitação no ano 2018</w:t>
      </w:r>
    </w:p>
    <w:tbl>
      <w:tblPr>
        <w:tblW w:w="8221" w:type="dxa"/>
        <w:tblInd w:w="284" w:type="dxa"/>
        <w:tblCellMar>
          <w:left w:w="70" w:type="dxa"/>
          <w:right w:w="70" w:type="dxa"/>
        </w:tblCellMar>
        <w:tblLook w:val="04A0" w:firstRow="1" w:lastRow="0" w:firstColumn="1" w:lastColumn="0" w:noHBand="0" w:noVBand="1"/>
      </w:tblPr>
      <w:tblGrid>
        <w:gridCol w:w="2116"/>
        <w:gridCol w:w="1480"/>
        <w:gridCol w:w="1820"/>
        <w:gridCol w:w="2805"/>
      </w:tblGrid>
      <w:tr w:rsidR="004D7734" w:rsidRPr="004D7734" w14:paraId="2F5903A5" w14:textId="77777777" w:rsidTr="00776D33">
        <w:trPr>
          <w:trHeight w:val="300"/>
        </w:trPr>
        <w:tc>
          <w:tcPr>
            <w:tcW w:w="2116" w:type="dxa"/>
            <w:tcBorders>
              <w:top w:val="single" w:sz="4" w:space="0" w:color="auto"/>
              <w:left w:val="nil"/>
              <w:bottom w:val="single" w:sz="4" w:space="0" w:color="auto"/>
              <w:right w:val="nil"/>
            </w:tcBorders>
            <w:shd w:val="clear" w:color="000000" w:fill="FFFFFF"/>
            <w:noWrap/>
            <w:vAlign w:val="bottom"/>
            <w:hideMark/>
          </w:tcPr>
          <w:p w14:paraId="65A4DAF6" w14:textId="77777777" w:rsidR="004D7734" w:rsidRPr="004D7734" w:rsidRDefault="004D7734" w:rsidP="00D14FEE">
            <w:pPr>
              <w:ind w:left="-69"/>
              <w:rPr>
                <w:rFonts w:eastAsia="Times New Roman"/>
                <w:b/>
                <w:bCs/>
                <w:color w:val="000000"/>
                <w:sz w:val="20"/>
                <w:szCs w:val="20"/>
                <w:lang w:eastAsia="pt-BR"/>
              </w:rPr>
            </w:pPr>
            <w:r w:rsidRPr="004D7734">
              <w:rPr>
                <w:rFonts w:eastAsia="Times New Roman"/>
                <w:b/>
                <w:bCs/>
                <w:color w:val="000000"/>
                <w:sz w:val="20"/>
                <w:szCs w:val="20"/>
                <w:lang w:eastAsia="pt-BR"/>
              </w:rPr>
              <w:t>Modalidades</w:t>
            </w:r>
          </w:p>
        </w:tc>
        <w:tc>
          <w:tcPr>
            <w:tcW w:w="1480" w:type="dxa"/>
            <w:tcBorders>
              <w:top w:val="single" w:sz="4" w:space="0" w:color="auto"/>
              <w:left w:val="nil"/>
              <w:bottom w:val="single" w:sz="4" w:space="0" w:color="auto"/>
              <w:right w:val="nil"/>
            </w:tcBorders>
            <w:shd w:val="clear" w:color="000000" w:fill="FFFFFF"/>
            <w:noWrap/>
            <w:vAlign w:val="bottom"/>
            <w:hideMark/>
          </w:tcPr>
          <w:p w14:paraId="0070F187" w14:textId="77777777" w:rsidR="004D7734" w:rsidRPr="004D7734" w:rsidRDefault="004D7734" w:rsidP="004D7734">
            <w:pPr>
              <w:jc w:val="center"/>
              <w:rPr>
                <w:rFonts w:eastAsia="Times New Roman"/>
                <w:b/>
                <w:bCs/>
                <w:color w:val="000000"/>
                <w:sz w:val="20"/>
                <w:szCs w:val="20"/>
                <w:lang w:eastAsia="pt-BR"/>
              </w:rPr>
            </w:pPr>
            <w:r w:rsidRPr="004D7734">
              <w:rPr>
                <w:rFonts w:eastAsia="Times New Roman"/>
                <w:b/>
                <w:bCs/>
                <w:color w:val="000000"/>
                <w:sz w:val="20"/>
                <w:szCs w:val="20"/>
                <w:lang w:eastAsia="pt-BR"/>
              </w:rPr>
              <w:t>Licitações</w:t>
            </w:r>
          </w:p>
        </w:tc>
        <w:tc>
          <w:tcPr>
            <w:tcW w:w="1820" w:type="dxa"/>
            <w:tcBorders>
              <w:top w:val="single" w:sz="4" w:space="0" w:color="auto"/>
              <w:left w:val="nil"/>
              <w:bottom w:val="single" w:sz="4" w:space="0" w:color="auto"/>
              <w:right w:val="nil"/>
            </w:tcBorders>
            <w:shd w:val="clear" w:color="000000" w:fill="FFFFFF"/>
            <w:noWrap/>
            <w:vAlign w:val="bottom"/>
            <w:hideMark/>
          </w:tcPr>
          <w:p w14:paraId="07EE7993" w14:textId="77777777" w:rsidR="004D7734" w:rsidRPr="004D7734" w:rsidRDefault="004D7734" w:rsidP="004D7734">
            <w:pPr>
              <w:jc w:val="center"/>
              <w:rPr>
                <w:rFonts w:eastAsia="Times New Roman"/>
                <w:b/>
                <w:bCs/>
                <w:color w:val="000000"/>
                <w:sz w:val="20"/>
                <w:szCs w:val="20"/>
                <w:lang w:eastAsia="pt-BR"/>
              </w:rPr>
            </w:pPr>
            <w:r w:rsidRPr="004D7734">
              <w:rPr>
                <w:rFonts w:eastAsia="Times New Roman"/>
                <w:b/>
                <w:bCs/>
                <w:color w:val="000000"/>
                <w:sz w:val="20"/>
                <w:szCs w:val="20"/>
                <w:lang w:eastAsia="pt-BR"/>
              </w:rPr>
              <w:t>%</w:t>
            </w:r>
          </w:p>
        </w:tc>
        <w:tc>
          <w:tcPr>
            <w:tcW w:w="2805" w:type="dxa"/>
            <w:tcBorders>
              <w:top w:val="single" w:sz="4" w:space="0" w:color="auto"/>
              <w:left w:val="nil"/>
              <w:bottom w:val="single" w:sz="4" w:space="0" w:color="auto"/>
              <w:right w:val="nil"/>
            </w:tcBorders>
            <w:shd w:val="clear" w:color="000000" w:fill="FFFFFF"/>
            <w:noWrap/>
            <w:vAlign w:val="bottom"/>
            <w:hideMark/>
          </w:tcPr>
          <w:p w14:paraId="62BAB25A" w14:textId="77777777" w:rsidR="004D7734" w:rsidRPr="004D7734" w:rsidRDefault="004D7734" w:rsidP="004D7734">
            <w:pPr>
              <w:jc w:val="center"/>
              <w:rPr>
                <w:rFonts w:eastAsia="Times New Roman"/>
                <w:b/>
                <w:bCs/>
                <w:color w:val="000000"/>
                <w:sz w:val="20"/>
                <w:szCs w:val="20"/>
                <w:lang w:eastAsia="pt-BR"/>
              </w:rPr>
            </w:pPr>
            <w:r w:rsidRPr="004D7734">
              <w:rPr>
                <w:rFonts w:eastAsia="Times New Roman"/>
                <w:b/>
                <w:bCs/>
                <w:color w:val="000000"/>
                <w:sz w:val="20"/>
                <w:szCs w:val="20"/>
                <w:lang w:eastAsia="pt-BR"/>
              </w:rPr>
              <w:t xml:space="preserve"> Valor </w:t>
            </w:r>
          </w:p>
        </w:tc>
      </w:tr>
      <w:tr w:rsidR="004D7734" w:rsidRPr="004D7734" w14:paraId="75285423" w14:textId="77777777" w:rsidTr="00776D33">
        <w:trPr>
          <w:trHeight w:val="300"/>
        </w:trPr>
        <w:tc>
          <w:tcPr>
            <w:tcW w:w="2116" w:type="dxa"/>
            <w:tcBorders>
              <w:top w:val="nil"/>
              <w:left w:val="nil"/>
              <w:bottom w:val="single" w:sz="4" w:space="0" w:color="auto"/>
              <w:right w:val="nil"/>
            </w:tcBorders>
            <w:shd w:val="clear" w:color="000000" w:fill="FFFFFF"/>
            <w:noWrap/>
            <w:vAlign w:val="bottom"/>
            <w:hideMark/>
          </w:tcPr>
          <w:p w14:paraId="04EDA41E" w14:textId="77777777" w:rsidR="004D7734" w:rsidRPr="004D7734" w:rsidRDefault="004D7734" w:rsidP="00D14FEE">
            <w:pPr>
              <w:ind w:left="-69"/>
              <w:rPr>
                <w:rFonts w:eastAsia="Times New Roman"/>
                <w:color w:val="000000"/>
                <w:sz w:val="20"/>
                <w:szCs w:val="20"/>
                <w:lang w:eastAsia="pt-BR"/>
              </w:rPr>
            </w:pPr>
            <w:r w:rsidRPr="004D7734">
              <w:rPr>
                <w:rFonts w:eastAsia="Times New Roman"/>
                <w:color w:val="000000"/>
                <w:sz w:val="20"/>
                <w:szCs w:val="20"/>
                <w:lang w:eastAsia="pt-BR"/>
              </w:rPr>
              <w:t>Convite</w:t>
            </w:r>
          </w:p>
        </w:tc>
        <w:tc>
          <w:tcPr>
            <w:tcW w:w="1480" w:type="dxa"/>
            <w:tcBorders>
              <w:top w:val="nil"/>
              <w:left w:val="nil"/>
              <w:bottom w:val="single" w:sz="4" w:space="0" w:color="auto"/>
              <w:right w:val="nil"/>
            </w:tcBorders>
            <w:shd w:val="clear" w:color="000000" w:fill="FFFFFF"/>
            <w:noWrap/>
            <w:vAlign w:val="bottom"/>
            <w:hideMark/>
          </w:tcPr>
          <w:p w14:paraId="2BBDB7D7"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5</w:t>
            </w:r>
          </w:p>
        </w:tc>
        <w:tc>
          <w:tcPr>
            <w:tcW w:w="1820" w:type="dxa"/>
            <w:tcBorders>
              <w:top w:val="nil"/>
              <w:left w:val="nil"/>
              <w:bottom w:val="single" w:sz="4" w:space="0" w:color="auto"/>
              <w:right w:val="nil"/>
            </w:tcBorders>
            <w:shd w:val="clear" w:color="000000" w:fill="FFFFFF"/>
            <w:noWrap/>
            <w:vAlign w:val="bottom"/>
            <w:hideMark/>
          </w:tcPr>
          <w:p w14:paraId="28427BA3"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5%</w:t>
            </w:r>
          </w:p>
        </w:tc>
        <w:tc>
          <w:tcPr>
            <w:tcW w:w="2805" w:type="dxa"/>
            <w:tcBorders>
              <w:top w:val="nil"/>
              <w:left w:val="nil"/>
              <w:bottom w:val="single" w:sz="4" w:space="0" w:color="auto"/>
              <w:right w:val="nil"/>
            </w:tcBorders>
            <w:shd w:val="clear" w:color="000000" w:fill="FFFFFF"/>
            <w:noWrap/>
            <w:vAlign w:val="bottom"/>
            <w:hideMark/>
          </w:tcPr>
          <w:p w14:paraId="198DEF76"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161.792,56</w:t>
            </w:r>
          </w:p>
        </w:tc>
      </w:tr>
      <w:tr w:rsidR="004D7734" w:rsidRPr="004D7734" w14:paraId="340BB24D" w14:textId="77777777" w:rsidTr="00776D33">
        <w:trPr>
          <w:trHeight w:val="300"/>
        </w:trPr>
        <w:tc>
          <w:tcPr>
            <w:tcW w:w="2116" w:type="dxa"/>
            <w:tcBorders>
              <w:top w:val="nil"/>
              <w:left w:val="nil"/>
              <w:bottom w:val="single" w:sz="4" w:space="0" w:color="auto"/>
              <w:right w:val="nil"/>
            </w:tcBorders>
            <w:shd w:val="clear" w:color="000000" w:fill="FFFFFF"/>
            <w:noWrap/>
            <w:vAlign w:val="bottom"/>
            <w:hideMark/>
          </w:tcPr>
          <w:p w14:paraId="2730AD7D" w14:textId="77777777" w:rsidR="004D7734" w:rsidRPr="004D7734" w:rsidRDefault="004D7734" w:rsidP="00D14FEE">
            <w:pPr>
              <w:ind w:left="-69"/>
              <w:rPr>
                <w:rFonts w:eastAsia="Times New Roman"/>
                <w:color w:val="000000"/>
                <w:sz w:val="20"/>
                <w:szCs w:val="20"/>
                <w:lang w:eastAsia="pt-BR"/>
              </w:rPr>
            </w:pPr>
            <w:r w:rsidRPr="004D7734">
              <w:rPr>
                <w:rFonts w:eastAsia="Times New Roman"/>
                <w:color w:val="000000"/>
                <w:sz w:val="20"/>
                <w:szCs w:val="20"/>
                <w:lang w:eastAsia="pt-BR"/>
              </w:rPr>
              <w:t>Dispensa</w:t>
            </w:r>
          </w:p>
        </w:tc>
        <w:tc>
          <w:tcPr>
            <w:tcW w:w="1480" w:type="dxa"/>
            <w:tcBorders>
              <w:top w:val="nil"/>
              <w:left w:val="nil"/>
              <w:bottom w:val="single" w:sz="4" w:space="0" w:color="auto"/>
              <w:right w:val="nil"/>
            </w:tcBorders>
            <w:shd w:val="clear" w:color="000000" w:fill="FFFFFF"/>
            <w:noWrap/>
            <w:vAlign w:val="bottom"/>
            <w:hideMark/>
          </w:tcPr>
          <w:p w14:paraId="117C681C"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12</w:t>
            </w:r>
          </w:p>
        </w:tc>
        <w:tc>
          <w:tcPr>
            <w:tcW w:w="1820" w:type="dxa"/>
            <w:tcBorders>
              <w:top w:val="nil"/>
              <w:left w:val="nil"/>
              <w:bottom w:val="single" w:sz="4" w:space="0" w:color="auto"/>
              <w:right w:val="nil"/>
            </w:tcBorders>
            <w:shd w:val="clear" w:color="000000" w:fill="FFFFFF"/>
            <w:noWrap/>
            <w:vAlign w:val="bottom"/>
            <w:hideMark/>
          </w:tcPr>
          <w:p w14:paraId="6CB2A986"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13%</w:t>
            </w:r>
          </w:p>
        </w:tc>
        <w:tc>
          <w:tcPr>
            <w:tcW w:w="2805" w:type="dxa"/>
            <w:tcBorders>
              <w:top w:val="nil"/>
              <w:left w:val="nil"/>
              <w:bottom w:val="single" w:sz="4" w:space="0" w:color="auto"/>
              <w:right w:val="nil"/>
            </w:tcBorders>
            <w:shd w:val="clear" w:color="000000" w:fill="FFFFFF"/>
            <w:noWrap/>
            <w:vAlign w:val="bottom"/>
            <w:hideMark/>
          </w:tcPr>
          <w:p w14:paraId="1D1E7218"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1.144.101,95</w:t>
            </w:r>
          </w:p>
        </w:tc>
      </w:tr>
      <w:tr w:rsidR="004D7734" w:rsidRPr="004D7734" w14:paraId="7936C228" w14:textId="77777777" w:rsidTr="0009682B">
        <w:trPr>
          <w:trHeight w:val="300"/>
        </w:trPr>
        <w:tc>
          <w:tcPr>
            <w:tcW w:w="2116" w:type="dxa"/>
            <w:tcBorders>
              <w:top w:val="nil"/>
              <w:left w:val="nil"/>
              <w:bottom w:val="single" w:sz="4" w:space="0" w:color="auto"/>
              <w:right w:val="nil"/>
            </w:tcBorders>
            <w:shd w:val="clear" w:color="000000" w:fill="FFFFFF"/>
            <w:noWrap/>
            <w:vAlign w:val="bottom"/>
            <w:hideMark/>
          </w:tcPr>
          <w:p w14:paraId="3FC3F490" w14:textId="77777777" w:rsidR="004D7734" w:rsidRPr="004D7734" w:rsidRDefault="004D7734" w:rsidP="00D14FEE">
            <w:pPr>
              <w:ind w:left="-69"/>
              <w:rPr>
                <w:rFonts w:eastAsia="Times New Roman"/>
                <w:color w:val="000000"/>
                <w:sz w:val="20"/>
                <w:szCs w:val="20"/>
                <w:lang w:eastAsia="pt-BR"/>
              </w:rPr>
            </w:pPr>
            <w:r w:rsidRPr="004D7734">
              <w:rPr>
                <w:rFonts w:eastAsia="Times New Roman"/>
                <w:color w:val="000000"/>
                <w:sz w:val="20"/>
                <w:szCs w:val="20"/>
                <w:lang w:eastAsia="pt-BR"/>
              </w:rPr>
              <w:t>Inexigibilidade</w:t>
            </w:r>
          </w:p>
        </w:tc>
        <w:tc>
          <w:tcPr>
            <w:tcW w:w="1480" w:type="dxa"/>
            <w:tcBorders>
              <w:top w:val="nil"/>
              <w:left w:val="nil"/>
              <w:bottom w:val="single" w:sz="4" w:space="0" w:color="auto"/>
              <w:right w:val="nil"/>
            </w:tcBorders>
            <w:shd w:val="clear" w:color="000000" w:fill="FFFFFF"/>
            <w:noWrap/>
            <w:vAlign w:val="bottom"/>
            <w:hideMark/>
          </w:tcPr>
          <w:p w14:paraId="5B8A01D1"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1</w:t>
            </w:r>
          </w:p>
        </w:tc>
        <w:tc>
          <w:tcPr>
            <w:tcW w:w="1820" w:type="dxa"/>
            <w:tcBorders>
              <w:top w:val="nil"/>
              <w:left w:val="nil"/>
              <w:bottom w:val="single" w:sz="4" w:space="0" w:color="auto"/>
              <w:right w:val="nil"/>
            </w:tcBorders>
            <w:shd w:val="clear" w:color="000000" w:fill="FFFFFF"/>
            <w:noWrap/>
            <w:vAlign w:val="bottom"/>
            <w:hideMark/>
          </w:tcPr>
          <w:p w14:paraId="58749008"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1%</w:t>
            </w:r>
          </w:p>
        </w:tc>
        <w:tc>
          <w:tcPr>
            <w:tcW w:w="2805" w:type="dxa"/>
            <w:tcBorders>
              <w:top w:val="single" w:sz="4" w:space="0" w:color="auto"/>
              <w:left w:val="nil"/>
              <w:bottom w:val="single" w:sz="4" w:space="0" w:color="auto"/>
              <w:right w:val="nil"/>
            </w:tcBorders>
            <w:shd w:val="clear" w:color="000000" w:fill="FFFFFF"/>
            <w:noWrap/>
            <w:vAlign w:val="bottom"/>
            <w:hideMark/>
          </w:tcPr>
          <w:p w14:paraId="0AC66C55"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85.680,00</w:t>
            </w:r>
          </w:p>
        </w:tc>
      </w:tr>
      <w:tr w:rsidR="004D7734" w:rsidRPr="004D7734" w14:paraId="4BF0B74D" w14:textId="77777777" w:rsidTr="0009682B">
        <w:trPr>
          <w:trHeight w:val="300"/>
        </w:trPr>
        <w:tc>
          <w:tcPr>
            <w:tcW w:w="2116" w:type="dxa"/>
            <w:tcBorders>
              <w:top w:val="single" w:sz="4" w:space="0" w:color="auto"/>
              <w:left w:val="nil"/>
              <w:bottom w:val="single" w:sz="4" w:space="0" w:color="auto"/>
              <w:right w:val="nil"/>
            </w:tcBorders>
            <w:shd w:val="clear" w:color="000000" w:fill="FFFFFF"/>
            <w:noWrap/>
            <w:vAlign w:val="bottom"/>
            <w:hideMark/>
          </w:tcPr>
          <w:p w14:paraId="44C36B19" w14:textId="77777777" w:rsidR="004D7734" w:rsidRPr="004D7734" w:rsidRDefault="004D7734" w:rsidP="00D14FEE">
            <w:pPr>
              <w:ind w:left="-69"/>
              <w:rPr>
                <w:rFonts w:eastAsia="Times New Roman"/>
                <w:color w:val="000000"/>
                <w:sz w:val="20"/>
                <w:szCs w:val="20"/>
                <w:lang w:eastAsia="pt-BR"/>
              </w:rPr>
            </w:pPr>
            <w:r w:rsidRPr="004D7734">
              <w:rPr>
                <w:rFonts w:eastAsia="Times New Roman"/>
                <w:color w:val="000000"/>
                <w:sz w:val="20"/>
                <w:szCs w:val="20"/>
                <w:lang w:eastAsia="pt-BR"/>
              </w:rPr>
              <w:t>Pregão Eletrônico</w:t>
            </w:r>
          </w:p>
        </w:tc>
        <w:tc>
          <w:tcPr>
            <w:tcW w:w="1480" w:type="dxa"/>
            <w:tcBorders>
              <w:top w:val="single" w:sz="4" w:space="0" w:color="auto"/>
              <w:left w:val="nil"/>
              <w:bottom w:val="single" w:sz="4" w:space="0" w:color="auto"/>
              <w:right w:val="nil"/>
            </w:tcBorders>
            <w:shd w:val="clear" w:color="000000" w:fill="FFFFFF"/>
            <w:noWrap/>
            <w:vAlign w:val="bottom"/>
            <w:hideMark/>
          </w:tcPr>
          <w:p w14:paraId="17F06D95"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1</w:t>
            </w:r>
          </w:p>
        </w:tc>
        <w:tc>
          <w:tcPr>
            <w:tcW w:w="1820" w:type="dxa"/>
            <w:tcBorders>
              <w:top w:val="single" w:sz="4" w:space="0" w:color="auto"/>
              <w:left w:val="nil"/>
              <w:bottom w:val="single" w:sz="4" w:space="0" w:color="auto"/>
              <w:right w:val="nil"/>
            </w:tcBorders>
            <w:shd w:val="clear" w:color="000000" w:fill="FFFFFF"/>
            <w:noWrap/>
            <w:vAlign w:val="bottom"/>
            <w:hideMark/>
          </w:tcPr>
          <w:p w14:paraId="7DA8BC40"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1%</w:t>
            </w:r>
          </w:p>
        </w:tc>
        <w:tc>
          <w:tcPr>
            <w:tcW w:w="2805" w:type="dxa"/>
            <w:tcBorders>
              <w:top w:val="single" w:sz="4" w:space="0" w:color="auto"/>
              <w:left w:val="nil"/>
              <w:bottom w:val="single" w:sz="4" w:space="0" w:color="auto"/>
              <w:right w:val="nil"/>
            </w:tcBorders>
            <w:shd w:val="clear" w:color="000000" w:fill="FFFFFF"/>
            <w:noWrap/>
            <w:vAlign w:val="bottom"/>
            <w:hideMark/>
          </w:tcPr>
          <w:p w14:paraId="4D4ADC42"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569.900,00</w:t>
            </w:r>
          </w:p>
        </w:tc>
      </w:tr>
      <w:tr w:rsidR="004D7734" w:rsidRPr="004D7734" w14:paraId="3B1CFC7D" w14:textId="77777777" w:rsidTr="0009682B">
        <w:trPr>
          <w:trHeight w:val="300"/>
        </w:trPr>
        <w:tc>
          <w:tcPr>
            <w:tcW w:w="2116" w:type="dxa"/>
            <w:tcBorders>
              <w:top w:val="single" w:sz="4" w:space="0" w:color="auto"/>
              <w:left w:val="nil"/>
              <w:bottom w:val="single" w:sz="4" w:space="0" w:color="auto"/>
              <w:right w:val="nil"/>
            </w:tcBorders>
            <w:shd w:val="clear" w:color="000000" w:fill="FFFFFF"/>
            <w:noWrap/>
            <w:vAlign w:val="bottom"/>
            <w:hideMark/>
          </w:tcPr>
          <w:p w14:paraId="6CB4F151" w14:textId="77777777" w:rsidR="004D7734" w:rsidRPr="004D7734" w:rsidRDefault="004D7734" w:rsidP="00D14FEE">
            <w:pPr>
              <w:ind w:left="-69"/>
              <w:rPr>
                <w:rFonts w:eastAsia="Times New Roman"/>
                <w:color w:val="000000"/>
                <w:sz w:val="20"/>
                <w:szCs w:val="20"/>
                <w:lang w:eastAsia="pt-BR"/>
              </w:rPr>
            </w:pPr>
            <w:r w:rsidRPr="004D7734">
              <w:rPr>
                <w:rFonts w:eastAsia="Times New Roman"/>
                <w:color w:val="000000"/>
                <w:sz w:val="20"/>
                <w:szCs w:val="20"/>
                <w:lang w:eastAsia="pt-BR"/>
              </w:rPr>
              <w:lastRenderedPageBreak/>
              <w:t>Pregão Presencial</w:t>
            </w:r>
          </w:p>
        </w:tc>
        <w:tc>
          <w:tcPr>
            <w:tcW w:w="1480" w:type="dxa"/>
            <w:tcBorders>
              <w:top w:val="single" w:sz="4" w:space="0" w:color="auto"/>
              <w:left w:val="nil"/>
              <w:bottom w:val="single" w:sz="4" w:space="0" w:color="auto"/>
              <w:right w:val="nil"/>
            </w:tcBorders>
            <w:shd w:val="clear" w:color="000000" w:fill="FFFFFF"/>
            <w:noWrap/>
            <w:vAlign w:val="bottom"/>
            <w:hideMark/>
          </w:tcPr>
          <w:p w14:paraId="749AA34A"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70</w:t>
            </w:r>
          </w:p>
        </w:tc>
        <w:tc>
          <w:tcPr>
            <w:tcW w:w="1820" w:type="dxa"/>
            <w:tcBorders>
              <w:top w:val="single" w:sz="4" w:space="0" w:color="auto"/>
              <w:left w:val="nil"/>
              <w:bottom w:val="single" w:sz="4" w:space="0" w:color="auto"/>
              <w:right w:val="nil"/>
            </w:tcBorders>
            <w:shd w:val="clear" w:color="000000" w:fill="FFFFFF"/>
            <w:noWrap/>
            <w:vAlign w:val="bottom"/>
            <w:hideMark/>
          </w:tcPr>
          <w:p w14:paraId="6B773941"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74%</w:t>
            </w:r>
          </w:p>
        </w:tc>
        <w:tc>
          <w:tcPr>
            <w:tcW w:w="2805" w:type="dxa"/>
            <w:tcBorders>
              <w:top w:val="single" w:sz="4" w:space="0" w:color="auto"/>
              <w:left w:val="nil"/>
              <w:bottom w:val="nil"/>
              <w:right w:val="nil"/>
            </w:tcBorders>
            <w:shd w:val="clear" w:color="000000" w:fill="FFFFFF"/>
            <w:noWrap/>
            <w:vAlign w:val="bottom"/>
            <w:hideMark/>
          </w:tcPr>
          <w:p w14:paraId="57DC57B1"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11.134.036,22</w:t>
            </w:r>
          </w:p>
        </w:tc>
      </w:tr>
      <w:tr w:rsidR="004D7734" w:rsidRPr="004D7734" w14:paraId="4D4D5964" w14:textId="77777777" w:rsidTr="00776D33">
        <w:trPr>
          <w:trHeight w:val="300"/>
        </w:trPr>
        <w:tc>
          <w:tcPr>
            <w:tcW w:w="2116" w:type="dxa"/>
            <w:tcBorders>
              <w:top w:val="nil"/>
              <w:left w:val="nil"/>
              <w:bottom w:val="single" w:sz="4" w:space="0" w:color="auto"/>
              <w:right w:val="nil"/>
            </w:tcBorders>
            <w:shd w:val="clear" w:color="000000" w:fill="FFFFFF"/>
            <w:noWrap/>
            <w:vAlign w:val="bottom"/>
            <w:hideMark/>
          </w:tcPr>
          <w:p w14:paraId="620F236C" w14:textId="77777777" w:rsidR="004D7734" w:rsidRPr="004D7734" w:rsidRDefault="004D7734" w:rsidP="00D14FEE">
            <w:pPr>
              <w:ind w:left="-69"/>
              <w:rPr>
                <w:rFonts w:eastAsia="Times New Roman"/>
                <w:color w:val="000000"/>
                <w:sz w:val="20"/>
                <w:szCs w:val="20"/>
                <w:lang w:eastAsia="pt-BR"/>
              </w:rPr>
            </w:pPr>
            <w:r w:rsidRPr="004D7734">
              <w:rPr>
                <w:rFonts w:eastAsia="Times New Roman"/>
                <w:color w:val="000000"/>
                <w:sz w:val="20"/>
                <w:szCs w:val="20"/>
                <w:lang w:eastAsia="pt-BR"/>
              </w:rPr>
              <w:t>Tomada de Preços</w:t>
            </w:r>
          </w:p>
        </w:tc>
        <w:tc>
          <w:tcPr>
            <w:tcW w:w="1480" w:type="dxa"/>
            <w:tcBorders>
              <w:top w:val="nil"/>
              <w:left w:val="nil"/>
              <w:bottom w:val="single" w:sz="4" w:space="0" w:color="auto"/>
              <w:right w:val="nil"/>
            </w:tcBorders>
            <w:shd w:val="clear" w:color="000000" w:fill="FFFFFF"/>
            <w:noWrap/>
            <w:vAlign w:val="bottom"/>
            <w:hideMark/>
          </w:tcPr>
          <w:p w14:paraId="79CEC22B"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5</w:t>
            </w:r>
          </w:p>
        </w:tc>
        <w:tc>
          <w:tcPr>
            <w:tcW w:w="1820" w:type="dxa"/>
            <w:tcBorders>
              <w:top w:val="nil"/>
              <w:left w:val="nil"/>
              <w:bottom w:val="single" w:sz="4" w:space="0" w:color="auto"/>
              <w:right w:val="nil"/>
            </w:tcBorders>
            <w:shd w:val="clear" w:color="000000" w:fill="FFFFFF"/>
            <w:noWrap/>
            <w:vAlign w:val="bottom"/>
            <w:hideMark/>
          </w:tcPr>
          <w:p w14:paraId="0BFBE6F5"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5%</w:t>
            </w:r>
          </w:p>
        </w:tc>
        <w:tc>
          <w:tcPr>
            <w:tcW w:w="2805" w:type="dxa"/>
            <w:tcBorders>
              <w:top w:val="single" w:sz="4" w:space="0" w:color="auto"/>
              <w:left w:val="nil"/>
              <w:bottom w:val="nil"/>
              <w:right w:val="nil"/>
            </w:tcBorders>
            <w:shd w:val="clear" w:color="000000" w:fill="FFFFFF"/>
            <w:noWrap/>
            <w:vAlign w:val="bottom"/>
            <w:hideMark/>
          </w:tcPr>
          <w:p w14:paraId="59D7F7E1"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1.357.233,17</w:t>
            </w:r>
          </w:p>
        </w:tc>
      </w:tr>
      <w:tr w:rsidR="004D7734" w:rsidRPr="004D7734" w14:paraId="2F0F3B2C" w14:textId="77777777" w:rsidTr="00776D33">
        <w:trPr>
          <w:trHeight w:val="300"/>
        </w:trPr>
        <w:tc>
          <w:tcPr>
            <w:tcW w:w="2116" w:type="dxa"/>
            <w:tcBorders>
              <w:top w:val="nil"/>
              <w:left w:val="nil"/>
              <w:bottom w:val="single" w:sz="4" w:space="0" w:color="auto"/>
              <w:right w:val="nil"/>
            </w:tcBorders>
            <w:shd w:val="clear" w:color="000000" w:fill="FFFFFF"/>
            <w:noWrap/>
            <w:vAlign w:val="bottom"/>
            <w:hideMark/>
          </w:tcPr>
          <w:p w14:paraId="2B6B2553" w14:textId="77777777" w:rsidR="004D7734" w:rsidRPr="004D7734" w:rsidRDefault="004D7734" w:rsidP="00D14FEE">
            <w:pPr>
              <w:ind w:left="-69"/>
              <w:rPr>
                <w:rFonts w:eastAsia="Times New Roman"/>
                <w:b/>
                <w:bCs/>
                <w:color w:val="000000"/>
                <w:sz w:val="20"/>
                <w:szCs w:val="20"/>
                <w:lang w:eastAsia="pt-BR"/>
              </w:rPr>
            </w:pPr>
            <w:r w:rsidRPr="004D7734">
              <w:rPr>
                <w:rFonts w:eastAsia="Times New Roman"/>
                <w:b/>
                <w:bCs/>
                <w:color w:val="000000"/>
                <w:sz w:val="20"/>
                <w:szCs w:val="20"/>
                <w:lang w:eastAsia="pt-BR"/>
              </w:rPr>
              <w:t>Total</w:t>
            </w:r>
          </w:p>
        </w:tc>
        <w:tc>
          <w:tcPr>
            <w:tcW w:w="1480" w:type="dxa"/>
            <w:tcBorders>
              <w:top w:val="nil"/>
              <w:left w:val="nil"/>
              <w:bottom w:val="single" w:sz="4" w:space="0" w:color="auto"/>
              <w:right w:val="nil"/>
            </w:tcBorders>
            <w:shd w:val="clear" w:color="auto" w:fill="auto"/>
            <w:noWrap/>
            <w:vAlign w:val="bottom"/>
            <w:hideMark/>
          </w:tcPr>
          <w:p w14:paraId="4883AC61" w14:textId="77777777" w:rsidR="004D7734" w:rsidRPr="004D7734" w:rsidRDefault="004D7734" w:rsidP="004D7734">
            <w:pPr>
              <w:jc w:val="center"/>
              <w:rPr>
                <w:rFonts w:eastAsia="Times New Roman"/>
                <w:b/>
                <w:bCs/>
                <w:color w:val="000000"/>
                <w:sz w:val="20"/>
                <w:szCs w:val="20"/>
                <w:lang w:eastAsia="pt-BR"/>
              </w:rPr>
            </w:pPr>
            <w:r w:rsidRPr="004D7734">
              <w:rPr>
                <w:rFonts w:eastAsia="Times New Roman"/>
                <w:b/>
                <w:bCs/>
                <w:color w:val="000000"/>
                <w:sz w:val="20"/>
                <w:szCs w:val="20"/>
                <w:lang w:eastAsia="pt-BR"/>
              </w:rPr>
              <w:t>94</w:t>
            </w:r>
          </w:p>
        </w:tc>
        <w:tc>
          <w:tcPr>
            <w:tcW w:w="1820" w:type="dxa"/>
            <w:tcBorders>
              <w:top w:val="nil"/>
              <w:left w:val="nil"/>
              <w:bottom w:val="single" w:sz="4" w:space="0" w:color="auto"/>
              <w:right w:val="nil"/>
            </w:tcBorders>
            <w:shd w:val="clear" w:color="000000" w:fill="FFFFFF"/>
            <w:noWrap/>
            <w:vAlign w:val="bottom"/>
            <w:hideMark/>
          </w:tcPr>
          <w:p w14:paraId="7E78ED29" w14:textId="77777777" w:rsidR="004D7734" w:rsidRPr="004D7734" w:rsidRDefault="004D7734" w:rsidP="004D7734">
            <w:pPr>
              <w:jc w:val="center"/>
              <w:rPr>
                <w:rFonts w:eastAsia="Times New Roman"/>
                <w:color w:val="000000"/>
                <w:sz w:val="20"/>
                <w:szCs w:val="20"/>
                <w:lang w:eastAsia="pt-BR"/>
              </w:rPr>
            </w:pPr>
            <w:r w:rsidRPr="004D7734">
              <w:rPr>
                <w:rFonts w:eastAsia="Times New Roman"/>
                <w:color w:val="000000"/>
                <w:sz w:val="20"/>
                <w:szCs w:val="20"/>
                <w:lang w:eastAsia="pt-BR"/>
              </w:rPr>
              <w:t>100%</w:t>
            </w:r>
          </w:p>
        </w:tc>
        <w:tc>
          <w:tcPr>
            <w:tcW w:w="2805" w:type="dxa"/>
            <w:tcBorders>
              <w:top w:val="single" w:sz="4" w:space="0" w:color="auto"/>
              <w:left w:val="nil"/>
              <w:bottom w:val="single" w:sz="4" w:space="0" w:color="auto"/>
              <w:right w:val="nil"/>
            </w:tcBorders>
            <w:shd w:val="clear" w:color="auto" w:fill="auto"/>
            <w:noWrap/>
            <w:vAlign w:val="bottom"/>
            <w:hideMark/>
          </w:tcPr>
          <w:p w14:paraId="002F3BA1" w14:textId="77777777" w:rsidR="004D7734" w:rsidRPr="004D7734" w:rsidRDefault="004D7734" w:rsidP="004D7734">
            <w:pPr>
              <w:jc w:val="center"/>
              <w:rPr>
                <w:rFonts w:eastAsia="Times New Roman"/>
                <w:b/>
                <w:bCs/>
                <w:color w:val="000000"/>
                <w:sz w:val="20"/>
                <w:szCs w:val="20"/>
                <w:lang w:eastAsia="pt-BR"/>
              </w:rPr>
            </w:pPr>
            <w:r w:rsidRPr="004D7734">
              <w:rPr>
                <w:rFonts w:eastAsia="Times New Roman"/>
                <w:b/>
                <w:bCs/>
                <w:color w:val="000000"/>
                <w:sz w:val="20"/>
                <w:szCs w:val="20"/>
                <w:lang w:eastAsia="pt-BR"/>
              </w:rPr>
              <w:t>14.452.743,90</w:t>
            </w:r>
          </w:p>
        </w:tc>
      </w:tr>
    </w:tbl>
    <w:p w14:paraId="0CF3371E" w14:textId="0A96CC39" w:rsidR="004D7734" w:rsidRDefault="004D7734" w:rsidP="004806C7">
      <w:pPr>
        <w:spacing w:after="160" w:line="259" w:lineRule="auto"/>
        <w:ind w:left="284"/>
        <w:rPr>
          <w:sz w:val="20"/>
          <w:szCs w:val="20"/>
        </w:rPr>
      </w:pPr>
      <w:r>
        <w:rPr>
          <w:sz w:val="20"/>
          <w:szCs w:val="20"/>
        </w:rPr>
        <w:t>Font</w:t>
      </w:r>
      <w:r w:rsidR="00776D33">
        <w:rPr>
          <w:sz w:val="20"/>
          <w:szCs w:val="20"/>
        </w:rPr>
        <w:t>e: Dados da pesquisa (2021)</w:t>
      </w:r>
    </w:p>
    <w:p w14:paraId="41FA9D1E" w14:textId="555B393F" w:rsidR="004D7734" w:rsidRDefault="004D7734" w:rsidP="004E5221">
      <w:pPr>
        <w:pStyle w:val="UNIDAVISEOSECUNDARIA"/>
        <w:rPr>
          <w:lang w:val="pt-BR"/>
        </w:rPr>
      </w:pPr>
    </w:p>
    <w:p w14:paraId="33073ABA" w14:textId="4B08D260" w:rsidR="00725279" w:rsidRDefault="00083F9C" w:rsidP="00725279">
      <w:pPr>
        <w:pStyle w:val="UnidaviTexto-Espao15"/>
      </w:pPr>
      <w:r>
        <w:t xml:space="preserve">Em seguida </w:t>
      </w:r>
      <w:r w:rsidR="00781A9E">
        <w:t>tiveram 12 licitações dispensadas, que acontecem quando o processo licitatório é facultativo pela administração pública, obedecendo as regras descritas em lei. Logo após ficaram empatadas a modalidade convite e as licitações para tomada de preços com 5 realizações cada. Realizou-se ainda 1 pela inexigibilidade de licitação.</w:t>
      </w:r>
      <w:r>
        <w:t xml:space="preserve"> </w:t>
      </w:r>
      <w:r w:rsidR="00781A9E">
        <w:t>No ano de 2018 acontece então a primeira licitação do município de Taió, pela modalidade Pregão Eletrônico.</w:t>
      </w:r>
    </w:p>
    <w:p w14:paraId="4E8FFD12" w14:textId="1CCC897B" w:rsidR="00776D33" w:rsidRDefault="00776D33" w:rsidP="009E2E16">
      <w:pPr>
        <w:pStyle w:val="UnidaviTexto-Espao15"/>
        <w:ind w:firstLine="0"/>
      </w:pPr>
    </w:p>
    <w:p w14:paraId="30CA2C3B" w14:textId="2DD9A64F" w:rsidR="00EB4942" w:rsidRPr="00776D33" w:rsidRDefault="00776D33" w:rsidP="00776D33">
      <w:pPr>
        <w:pStyle w:val="UnidaviTexto-Espao15"/>
        <w:spacing w:line="240" w:lineRule="auto"/>
        <w:ind w:left="284" w:firstLine="0"/>
        <w:contextualSpacing/>
        <w:rPr>
          <w:b/>
          <w:sz w:val="20"/>
        </w:rPr>
      </w:pPr>
      <w:r w:rsidRPr="007F2776">
        <w:rPr>
          <w:b/>
          <w:sz w:val="20"/>
        </w:rPr>
        <w:t>Gr</w:t>
      </w:r>
      <w:r>
        <w:rPr>
          <w:b/>
          <w:sz w:val="20"/>
        </w:rPr>
        <w:t>áfico 10</w:t>
      </w:r>
      <w:r w:rsidRPr="007F2776">
        <w:rPr>
          <w:b/>
          <w:sz w:val="20"/>
        </w:rPr>
        <w:t xml:space="preserve"> – </w:t>
      </w:r>
      <w:r w:rsidRPr="00776D33">
        <w:rPr>
          <w:b/>
          <w:bCs/>
          <w:sz w:val="20"/>
        </w:rPr>
        <w:t>Percentual de cada modalidade de licitação no ano 2018</w:t>
      </w:r>
    </w:p>
    <w:p w14:paraId="6A5096FF" w14:textId="6D7355CD" w:rsidR="00781A9E" w:rsidRPr="00B24E79" w:rsidRDefault="008B03FD" w:rsidP="00156B9D">
      <w:pPr>
        <w:pStyle w:val="UnidaviTexto-Espao15"/>
        <w:spacing w:line="240" w:lineRule="auto"/>
        <w:ind w:left="284" w:right="283" w:firstLine="0"/>
      </w:pPr>
      <w:r>
        <w:rPr>
          <w:noProof/>
        </w:rPr>
        <w:drawing>
          <wp:inline distT="0" distB="0" distL="0" distR="0" wp14:anchorId="7CAF8657" wp14:editId="7085F964">
            <wp:extent cx="5227607" cy="3495675"/>
            <wp:effectExtent l="0" t="0" r="11430" b="9525"/>
            <wp:docPr id="204" name="Gráfico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2F6DC2" w14:textId="78C2C87E" w:rsidR="00456DCC" w:rsidRDefault="00776D33" w:rsidP="00EB4942">
      <w:pPr>
        <w:pStyle w:val="UnidaviTexto-Espao15"/>
        <w:spacing w:line="240" w:lineRule="auto"/>
        <w:ind w:left="284" w:firstLine="0"/>
        <w:contextualSpacing/>
        <w:rPr>
          <w:sz w:val="20"/>
        </w:rPr>
      </w:pPr>
      <w:r>
        <w:rPr>
          <w:sz w:val="20"/>
        </w:rPr>
        <w:t>Fonte: Dados da pesquisa (2021)</w:t>
      </w:r>
    </w:p>
    <w:p w14:paraId="730ABA02" w14:textId="56D2C7A1" w:rsidR="00EB4942" w:rsidRDefault="00EB4942" w:rsidP="00916ED5">
      <w:pPr>
        <w:pStyle w:val="UnidaviTexto-Espao15"/>
        <w:ind w:left="284" w:firstLine="0"/>
        <w:contextualSpacing/>
        <w:rPr>
          <w:sz w:val="20"/>
        </w:rPr>
      </w:pPr>
    </w:p>
    <w:p w14:paraId="27C35B91" w14:textId="116CB0C4" w:rsidR="00BE4F59" w:rsidRDefault="00BE4F59" w:rsidP="00BE4F59">
      <w:pPr>
        <w:pStyle w:val="UnidaviTexto-Espao15"/>
      </w:pPr>
      <w:r>
        <w:t>Em relação aos percentuais de participação, cerca de 75% das licitações foram realizadas através do pregão pre</w:t>
      </w:r>
      <w:r w:rsidR="009E2E16">
        <w:t>sencial conforme apresentado no Gráfico 10.</w:t>
      </w:r>
    </w:p>
    <w:p w14:paraId="0C9C9BBA" w14:textId="677208D4" w:rsidR="00BE4F59" w:rsidRDefault="00BE4F59" w:rsidP="00BE4F59">
      <w:pPr>
        <w:pStyle w:val="UnidaviTexto-Espao15"/>
      </w:pPr>
      <w:r>
        <w:t>No ano de 2018 nas 94 licitações homologadas, identificou-se 277 participações de empresas, onde 82 dessas participações foram de empresas do município de Taió, 74 foram de empresas do Alto Vale do Itajaí e 121 foram de empresas de fora do Alto Va</w:t>
      </w:r>
      <w:r w:rsidR="009E2E16">
        <w:t>le do Itajaí conforme relata a Tabela 8.</w:t>
      </w:r>
    </w:p>
    <w:p w14:paraId="1CC9A042" w14:textId="77777777" w:rsidR="004E0FB2" w:rsidRDefault="004E0FB2" w:rsidP="00BE4F59">
      <w:pPr>
        <w:pStyle w:val="UnidaviTexto-Espao15"/>
      </w:pPr>
    </w:p>
    <w:p w14:paraId="7F3F4059" w14:textId="4FDD296F" w:rsidR="00916ED5" w:rsidRDefault="00916ED5">
      <w:pPr>
        <w:spacing w:after="160" w:line="259" w:lineRule="auto"/>
        <w:rPr>
          <w:rFonts w:eastAsia="Times New Roman" w:cstheme="minorBidi"/>
          <w:b/>
          <w:sz w:val="20"/>
          <w:szCs w:val="20"/>
          <w:lang w:eastAsia="pt-BR"/>
        </w:rPr>
      </w:pPr>
    </w:p>
    <w:p w14:paraId="2A864789" w14:textId="64E47149" w:rsidR="004D7734" w:rsidRPr="00776D33" w:rsidRDefault="009E2E16" w:rsidP="00776D33">
      <w:pPr>
        <w:pStyle w:val="UnidaviTexto-Espao15"/>
        <w:spacing w:line="240" w:lineRule="auto"/>
        <w:ind w:left="284" w:firstLine="0"/>
        <w:rPr>
          <w:b/>
          <w:sz w:val="20"/>
          <w:szCs w:val="20"/>
        </w:rPr>
      </w:pPr>
      <w:r>
        <w:rPr>
          <w:b/>
          <w:sz w:val="20"/>
          <w:szCs w:val="20"/>
        </w:rPr>
        <w:lastRenderedPageBreak/>
        <w:t xml:space="preserve">Tabela </w:t>
      </w:r>
      <w:r w:rsidR="00456DCC" w:rsidRPr="00776D33">
        <w:rPr>
          <w:b/>
          <w:sz w:val="20"/>
          <w:szCs w:val="20"/>
        </w:rPr>
        <w:t>8 – Empresas participantes/Empresas vencedoras no ano 2018</w:t>
      </w:r>
    </w:p>
    <w:tbl>
      <w:tblPr>
        <w:tblW w:w="8080" w:type="dxa"/>
        <w:tblInd w:w="284" w:type="dxa"/>
        <w:tblCellMar>
          <w:left w:w="70" w:type="dxa"/>
          <w:right w:w="70" w:type="dxa"/>
        </w:tblCellMar>
        <w:tblLook w:val="04A0" w:firstRow="1" w:lastRow="0" w:firstColumn="1" w:lastColumn="0" w:noHBand="0" w:noVBand="1"/>
      </w:tblPr>
      <w:tblGrid>
        <w:gridCol w:w="1701"/>
        <w:gridCol w:w="992"/>
        <w:gridCol w:w="851"/>
        <w:gridCol w:w="2126"/>
        <w:gridCol w:w="1276"/>
        <w:gridCol w:w="1134"/>
      </w:tblGrid>
      <w:tr w:rsidR="00456DCC" w:rsidRPr="00456DCC" w14:paraId="633F62CA" w14:textId="77777777" w:rsidTr="00776D33">
        <w:trPr>
          <w:trHeight w:val="300"/>
        </w:trPr>
        <w:tc>
          <w:tcPr>
            <w:tcW w:w="1701" w:type="dxa"/>
            <w:tcBorders>
              <w:top w:val="single" w:sz="4" w:space="0" w:color="auto"/>
              <w:left w:val="nil"/>
              <w:bottom w:val="single" w:sz="4" w:space="0" w:color="auto"/>
              <w:right w:val="nil"/>
            </w:tcBorders>
            <w:shd w:val="clear" w:color="000000" w:fill="FFFFFF"/>
            <w:noWrap/>
            <w:vAlign w:val="bottom"/>
            <w:hideMark/>
          </w:tcPr>
          <w:p w14:paraId="44750B74" w14:textId="77777777" w:rsidR="00456DCC" w:rsidRPr="00456DCC" w:rsidRDefault="00456DCC" w:rsidP="00D14FEE">
            <w:pPr>
              <w:ind w:left="-69"/>
              <w:rPr>
                <w:rFonts w:eastAsia="Times New Roman"/>
                <w:b/>
                <w:bCs/>
                <w:color w:val="000000"/>
                <w:sz w:val="20"/>
                <w:szCs w:val="20"/>
                <w:lang w:eastAsia="pt-BR"/>
              </w:rPr>
            </w:pPr>
            <w:r w:rsidRPr="00456DCC">
              <w:rPr>
                <w:rFonts w:eastAsia="Times New Roman"/>
                <w:b/>
                <w:bCs/>
                <w:color w:val="000000"/>
                <w:sz w:val="20"/>
                <w:szCs w:val="20"/>
                <w:lang w:eastAsia="pt-BR"/>
              </w:rPr>
              <w:t xml:space="preserve">Participações </w:t>
            </w:r>
          </w:p>
        </w:tc>
        <w:tc>
          <w:tcPr>
            <w:tcW w:w="992" w:type="dxa"/>
            <w:tcBorders>
              <w:top w:val="single" w:sz="4" w:space="0" w:color="auto"/>
              <w:left w:val="nil"/>
              <w:bottom w:val="single" w:sz="4" w:space="0" w:color="auto"/>
              <w:right w:val="nil"/>
            </w:tcBorders>
            <w:shd w:val="clear" w:color="000000" w:fill="FFFFFF"/>
            <w:noWrap/>
            <w:vAlign w:val="bottom"/>
            <w:hideMark/>
          </w:tcPr>
          <w:p w14:paraId="59454B76" w14:textId="77777777" w:rsidR="00456DCC" w:rsidRPr="00456DCC" w:rsidRDefault="00456DCC" w:rsidP="00456DCC">
            <w:pPr>
              <w:jc w:val="center"/>
              <w:rPr>
                <w:rFonts w:eastAsia="Times New Roman"/>
                <w:b/>
                <w:bCs/>
                <w:color w:val="000000"/>
                <w:sz w:val="20"/>
                <w:szCs w:val="20"/>
                <w:lang w:eastAsia="pt-BR"/>
              </w:rPr>
            </w:pPr>
            <w:r w:rsidRPr="00456DCC">
              <w:rPr>
                <w:rFonts w:eastAsia="Times New Roman"/>
                <w:b/>
                <w:bCs/>
                <w:color w:val="000000"/>
                <w:sz w:val="20"/>
                <w:szCs w:val="20"/>
                <w:lang w:eastAsia="pt-BR"/>
              </w:rPr>
              <w:t>Total de empresas</w:t>
            </w:r>
          </w:p>
        </w:tc>
        <w:tc>
          <w:tcPr>
            <w:tcW w:w="851" w:type="dxa"/>
            <w:tcBorders>
              <w:top w:val="single" w:sz="4" w:space="0" w:color="auto"/>
              <w:left w:val="nil"/>
              <w:bottom w:val="single" w:sz="4" w:space="0" w:color="auto"/>
              <w:right w:val="nil"/>
            </w:tcBorders>
            <w:shd w:val="clear" w:color="000000" w:fill="FFFFFF"/>
            <w:noWrap/>
            <w:vAlign w:val="bottom"/>
            <w:hideMark/>
          </w:tcPr>
          <w:p w14:paraId="526CE467" w14:textId="77777777" w:rsidR="00456DCC" w:rsidRPr="00456DCC" w:rsidRDefault="00456DCC" w:rsidP="00456DCC">
            <w:pPr>
              <w:jc w:val="center"/>
              <w:rPr>
                <w:rFonts w:eastAsia="Times New Roman"/>
                <w:b/>
                <w:bCs/>
                <w:color w:val="000000"/>
                <w:sz w:val="20"/>
                <w:szCs w:val="20"/>
                <w:lang w:eastAsia="pt-BR"/>
              </w:rPr>
            </w:pPr>
            <w:r w:rsidRPr="00456DCC">
              <w:rPr>
                <w:rFonts w:eastAsia="Times New Roman"/>
                <w:b/>
                <w:bCs/>
                <w:color w:val="000000"/>
                <w:sz w:val="20"/>
                <w:szCs w:val="20"/>
                <w:lang w:eastAsia="pt-BR"/>
              </w:rPr>
              <w:t>%</w:t>
            </w:r>
          </w:p>
        </w:tc>
        <w:tc>
          <w:tcPr>
            <w:tcW w:w="2126" w:type="dxa"/>
            <w:tcBorders>
              <w:top w:val="single" w:sz="4" w:space="0" w:color="auto"/>
              <w:left w:val="nil"/>
              <w:bottom w:val="single" w:sz="4" w:space="0" w:color="auto"/>
              <w:right w:val="nil"/>
            </w:tcBorders>
            <w:shd w:val="clear" w:color="000000" w:fill="FFFFFF"/>
            <w:noWrap/>
            <w:vAlign w:val="bottom"/>
            <w:hideMark/>
          </w:tcPr>
          <w:p w14:paraId="36832AE5" w14:textId="77777777" w:rsidR="00456DCC" w:rsidRPr="00456DCC" w:rsidRDefault="00456DCC" w:rsidP="00456DCC">
            <w:pPr>
              <w:jc w:val="center"/>
              <w:rPr>
                <w:rFonts w:eastAsia="Times New Roman"/>
                <w:b/>
                <w:bCs/>
                <w:color w:val="000000"/>
                <w:sz w:val="20"/>
                <w:szCs w:val="20"/>
                <w:lang w:eastAsia="pt-BR"/>
              </w:rPr>
            </w:pPr>
            <w:r w:rsidRPr="00456DCC">
              <w:rPr>
                <w:rFonts w:eastAsia="Times New Roman"/>
                <w:b/>
                <w:bCs/>
                <w:color w:val="000000"/>
                <w:sz w:val="20"/>
                <w:szCs w:val="20"/>
                <w:lang w:eastAsia="pt-BR"/>
              </w:rPr>
              <w:t>Vencedoras</w:t>
            </w:r>
          </w:p>
        </w:tc>
        <w:tc>
          <w:tcPr>
            <w:tcW w:w="1276" w:type="dxa"/>
            <w:tcBorders>
              <w:top w:val="single" w:sz="4" w:space="0" w:color="auto"/>
              <w:left w:val="nil"/>
              <w:bottom w:val="single" w:sz="4" w:space="0" w:color="auto"/>
              <w:right w:val="nil"/>
            </w:tcBorders>
            <w:shd w:val="clear" w:color="000000" w:fill="FFFFFF"/>
            <w:noWrap/>
            <w:vAlign w:val="bottom"/>
            <w:hideMark/>
          </w:tcPr>
          <w:p w14:paraId="6111671C" w14:textId="77777777" w:rsidR="00456DCC" w:rsidRPr="00456DCC" w:rsidRDefault="00456DCC" w:rsidP="00456DCC">
            <w:pPr>
              <w:jc w:val="center"/>
              <w:rPr>
                <w:rFonts w:eastAsia="Times New Roman"/>
                <w:b/>
                <w:bCs/>
                <w:color w:val="000000"/>
                <w:sz w:val="20"/>
                <w:szCs w:val="20"/>
                <w:lang w:eastAsia="pt-BR"/>
              </w:rPr>
            </w:pPr>
            <w:r w:rsidRPr="00456DCC">
              <w:rPr>
                <w:rFonts w:eastAsia="Times New Roman"/>
                <w:b/>
                <w:bCs/>
                <w:color w:val="000000"/>
                <w:sz w:val="20"/>
                <w:szCs w:val="20"/>
                <w:lang w:eastAsia="pt-BR"/>
              </w:rPr>
              <w:t>Total de empresas</w:t>
            </w:r>
          </w:p>
        </w:tc>
        <w:tc>
          <w:tcPr>
            <w:tcW w:w="1134" w:type="dxa"/>
            <w:tcBorders>
              <w:top w:val="single" w:sz="4" w:space="0" w:color="auto"/>
              <w:left w:val="nil"/>
              <w:bottom w:val="single" w:sz="4" w:space="0" w:color="auto"/>
              <w:right w:val="nil"/>
            </w:tcBorders>
            <w:shd w:val="clear" w:color="000000" w:fill="FFFFFF"/>
            <w:noWrap/>
            <w:vAlign w:val="bottom"/>
            <w:hideMark/>
          </w:tcPr>
          <w:p w14:paraId="73AD87CB" w14:textId="77777777" w:rsidR="00456DCC" w:rsidRPr="00456DCC" w:rsidRDefault="00456DCC" w:rsidP="00456DCC">
            <w:pPr>
              <w:jc w:val="center"/>
              <w:rPr>
                <w:rFonts w:eastAsia="Times New Roman"/>
                <w:b/>
                <w:bCs/>
                <w:color w:val="000000"/>
                <w:sz w:val="20"/>
                <w:szCs w:val="20"/>
                <w:lang w:eastAsia="pt-BR"/>
              </w:rPr>
            </w:pPr>
            <w:r w:rsidRPr="00456DCC">
              <w:rPr>
                <w:rFonts w:eastAsia="Times New Roman"/>
                <w:b/>
                <w:bCs/>
                <w:color w:val="000000"/>
                <w:sz w:val="20"/>
                <w:szCs w:val="20"/>
                <w:lang w:eastAsia="pt-BR"/>
              </w:rPr>
              <w:t>%</w:t>
            </w:r>
          </w:p>
        </w:tc>
      </w:tr>
      <w:tr w:rsidR="00456DCC" w:rsidRPr="00456DCC" w14:paraId="0F0AB856" w14:textId="77777777" w:rsidTr="00776D33">
        <w:trPr>
          <w:trHeight w:val="300"/>
        </w:trPr>
        <w:tc>
          <w:tcPr>
            <w:tcW w:w="1701" w:type="dxa"/>
            <w:tcBorders>
              <w:top w:val="nil"/>
              <w:left w:val="nil"/>
              <w:bottom w:val="single" w:sz="4" w:space="0" w:color="auto"/>
              <w:right w:val="nil"/>
            </w:tcBorders>
            <w:shd w:val="clear" w:color="000000" w:fill="FFFFFF"/>
            <w:noWrap/>
            <w:vAlign w:val="bottom"/>
            <w:hideMark/>
          </w:tcPr>
          <w:p w14:paraId="11BDDCE4" w14:textId="77777777" w:rsidR="00456DCC" w:rsidRPr="00456DCC" w:rsidRDefault="00456DCC" w:rsidP="00D14FEE">
            <w:pPr>
              <w:ind w:left="-69"/>
              <w:rPr>
                <w:rFonts w:eastAsia="Times New Roman"/>
                <w:color w:val="000000"/>
                <w:sz w:val="20"/>
                <w:szCs w:val="20"/>
                <w:lang w:eastAsia="pt-BR"/>
              </w:rPr>
            </w:pPr>
            <w:r w:rsidRPr="00456DCC">
              <w:rPr>
                <w:rFonts w:eastAsia="Times New Roman"/>
                <w:color w:val="000000"/>
                <w:sz w:val="20"/>
                <w:szCs w:val="20"/>
                <w:lang w:eastAsia="pt-BR"/>
              </w:rPr>
              <w:t>Ano 2018</w:t>
            </w:r>
          </w:p>
        </w:tc>
        <w:tc>
          <w:tcPr>
            <w:tcW w:w="992" w:type="dxa"/>
            <w:tcBorders>
              <w:top w:val="nil"/>
              <w:left w:val="nil"/>
              <w:bottom w:val="single" w:sz="4" w:space="0" w:color="auto"/>
              <w:right w:val="nil"/>
            </w:tcBorders>
            <w:shd w:val="clear" w:color="000000" w:fill="FFFFFF"/>
            <w:noWrap/>
            <w:vAlign w:val="bottom"/>
            <w:hideMark/>
          </w:tcPr>
          <w:p w14:paraId="3BCFD3D2"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277</w:t>
            </w:r>
          </w:p>
        </w:tc>
        <w:tc>
          <w:tcPr>
            <w:tcW w:w="851" w:type="dxa"/>
            <w:tcBorders>
              <w:top w:val="nil"/>
              <w:left w:val="nil"/>
              <w:bottom w:val="single" w:sz="4" w:space="0" w:color="auto"/>
              <w:right w:val="nil"/>
            </w:tcBorders>
            <w:shd w:val="clear" w:color="000000" w:fill="FFFFFF"/>
            <w:noWrap/>
            <w:vAlign w:val="bottom"/>
            <w:hideMark/>
          </w:tcPr>
          <w:p w14:paraId="2EFDF396"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100%</w:t>
            </w:r>
          </w:p>
        </w:tc>
        <w:tc>
          <w:tcPr>
            <w:tcW w:w="2126" w:type="dxa"/>
            <w:tcBorders>
              <w:top w:val="nil"/>
              <w:left w:val="nil"/>
              <w:bottom w:val="single" w:sz="4" w:space="0" w:color="auto"/>
              <w:right w:val="nil"/>
            </w:tcBorders>
            <w:shd w:val="clear" w:color="000000" w:fill="FFFFFF"/>
            <w:noWrap/>
            <w:vAlign w:val="bottom"/>
            <w:hideMark/>
          </w:tcPr>
          <w:p w14:paraId="5F76823B" w14:textId="21AE9AD7" w:rsidR="00456DCC" w:rsidRPr="00456DCC" w:rsidRDefault="00083269" w:rsidP="00456DCC">
            <w:pPr>
              <w:jc w:val="center"/>
              <w:rPr>
                <w:rFonts w:eastAsia="Times New Roman"/>
                <w:color w:val="000000"/>
                <w:sz w:val="20"/>
                <w:szCs w:val="20"/>
                <w:lang w:eastAsia="pt-BR"/>
              </w:rPr>
            </w:pPr>
            <w:r>
              <w:rPr>
                <w:rFonts w:eastAsia="Times New Roman"/>
                <w:color w:val="000000"/>
                <w:sz w:val="20"/>
                <w:szCs w:val="20"/>
                <w:lang w:eastAsia="pt-BR"/>
              </w:rPr>
              <w:t>Ano 2018</w:t>
            </w:r>
          </w:p>
        </w:tc>
        <w:tc>
          <w:tcPr>
            <w:tcW w:w="1276" w:type="dxa"/>
            <w:tcBorders>
              <w:top w:val="nil"/>
              <w:left w:val="nil"/>
              <w:bottom w:val="single" w:sz="4" w:space="0" w:color="auto"/>
              <w:right w:val="nil"/>
            </w:tcBorders>
            <w:shd w:val="clear" w:color="auto" w:fill="auto"/>
            <w:noWrap/>
            <w:vAlign w:val="bottom"/>
            <w:hideMark/>
          </w:tcPr>
          <w:p w14:paraId="606EE8E0"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198</w:t>
            </w:r>
          </w:p>
        </w:tc>
        <w:tc>
          <w:tcPr>
            <w:tcW w:w="1134" w:type="dxa"/>
            <w:tcBorders>
              <w:top w:val="nil"/>
              <w:left w:val="nil"/>
              <w:bottom w:val="single" w:sz="4" w:space="0" w:color="auto"/>
              <w:right w:val="nil"/>
            </w:tcBorders>
            <w:shd w:val="clear" w:color="auto" w:fill="auto"/>
            <w:noWrap/>
            <w:vAlign w:val="bottom"/>
            <w:hideMark/>
          </w:tcPr>
          <w:p w14:paraId="19E8B23E"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100%</w:t>
            </w:r>
          </w:p>
        </w:tc>
      </w:tr>
      <w:tr w:rsidR="00456DCC" w:rsidRPr="00456DCC" w14:paraId="4B0136B8" w14:textId="77777777" w:rsidTr="00776D33">
        <w:trPr>
          <w:trHeight w:val="300"/>
        </w:trPr>
        <w:tc>
          <w:tcPr>
            <w:tcW w:w="1701" w:type="dxa"/>
            <w:tcBorders>
              <w:top w:val="nil"/>
              <w:left w:val="nil"/>
              <w:bottom w:val="single" w:sz="4" w:space="0" w:color="auto"/>
              <w:right w:val="nil"/>
            </w:tcBorders>
            <w:shd w:val="clear" w:color="auto" w:fill="auto"/>
            <w:noWrap/>
            <w:vAlign w:val="bottom"/>
            <w:hideMark/>
          </w:tcPr>
          <w:p w14:paraId="294E7D7B" w14:textId="77777777" w:rsidR="00456DCC" w:rsidRPr="00456DCC" w:rsidRDefault="00456DCC" w:rsidP="00D14FEE">
            <w:pPr>
              <w:ind w:left="-69"/>
              <w:rPr>
                <w:rFonts w:eastAsia="Times New Roman"/>
                <w:color w:val="000000"/>
                <w:sz w:val="20"/>
                <w:szCs w:val="20"/>
                <w:lang w:eastAsia="pt-BR"/>
              </w:rPr>
            </w:pPr>
            <w:r w:rsidRPr="00456DCC">
              <w:rPr>
                <w:rFonts w:eastAsia="Times New Roman"/>
                <w:color w:val="000000"/>
                <w:sz w:val="20"/>
                <w:szCs w:val="20"/>
                <w:lang w:eastAsia="pt-BR"/>
              </w:rPr>
              <w:t>Empresas de Taió</w:t>
            </w:r>
          </w:p>
        </w:tc>
        <w:tc>
          <w:tcPr>
            <w:tcW w:w="992" w:type="dxa"/>
            <w:tcBorders>
              <w:top w:val="nil"/>
              <w:left w:val="nil"/>
              <w:bottom w:val="single" w:sz="4" w:space="0" w:color="auto"/>
              <w:right w:val="nil"/>
            </w:tcBorders>
            <w:shd w:val="clear" w:color="auto" w:fill="auto"/>
            <w:noWrap/>
            <w:vAlign w:val="bottom"/>
            <w:hideMark/>
          </w:tcPr>
          <w:p w14:paraId="4330A10A"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82</w:t>
            </w:r>
          </w:p>
        </w:tc>
        <w:tc>
          <w:tcPr>
            <w:tcW w:w="851" w:type="dxa"/>
            <w:tcBorders>
              <w:top w:val="nil"/>
              <w:left w:val="nil"/>
              <w:bottom w:val="single" w:sz="4" w:space="0" w:color="auto"/>
              <w:right w:val="nil"/>
            </w:tcBorders>
            <w:shd w:val="clear" w:color="auto" w:fill="auto"/>
            <w:noWrap/>
            <w:vAlign w:val="bottom"/>
            <w:hideMark/>
          </w:tcPr>
          <w:p w14:paraId="3B9ECFCE"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30%</w:t>
            </w:r>
          </w:p>
        </w:tc>
        <w:tc>
          <w:tcPr>
            <w:tcW w:w="2126" w:type="dxa"/>
            <w:tcBorders>
              <w:top w:val="nil"/>
              <w:left w:val="nil"/>
              <w:bottom w:val="single" w:sz="4" w:space="0" w:color="auto"/>
              <w:right w:val="nil"/>
            </w:tcBorders>
            <w:shd w:val="clear" w:color="auto" w:fill="auto"/>
            <w:noWrap/>
            <w:vAlign w:val="bottom"/>
            <w:hideMark/>
          </w:tcPr>
          <w:p w14:paraId="5696DD23"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Empresas de Taió</w:t>
            </w:r>
          </w:p>
        </w:tc>
        <w:tc>
          <w:tcPr>
            <w:tcW w:w="1276" w:type="dxa"/>
            <w:tcBorders>
              <w:top w:val="nil"/>
              <w:left w:val="nil"/>
              <w:bottom w:val="single" w:sz="4" w:space="0" w:color="auto"/>
              <w:right w:val="nil"/>
            </w:tcBorders>
            <w:shd w:val="clear" w:color="auto" w:fill="auto"/>
            <w:noWrap/>
            <w:vAlign w:val="bottom"/>
            <w:hideMark/>
          </w:tcPr>
          <w:p w14:paraId="74AE769B"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70</w:t>
            </w:r>
          </w:p>
        </w:tc>
        <w:tc>
          <w:tcPr>
            <w:tcW w:w="1134" w:type="dxa"/>
            <w:tcBorders>
              <w:top w:val="nil"/>
              <w:left w:val="nil"/>
              <w:bottom w:val="single" w:sz="4" w:space="0" w:color="auto"/>
              <w:right w:val="nil"/>
            </w:tcBorders>
            <w:shd w:val="clear" w:color="auto" w:fill="auto"/>
            <w:noWrap/>
            <w:vAlign w:val="bottom"/>
            <w:hideMark/>
          </w:tcPr>
          <w:p w14:paraId="640911EA"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35%</w:t>
            </w:r>
          </w:p>
        </w:tc>
      </w:tr>
      <w:tr w:rsidR="00456DCC" w:rsidRPr="00456DCC" w14:paraId="521D6599" w14:textId="77777777" w:rsidTr="00776D33">
        <w:trPr>
          <w:trHeight w:val="300"/>
        </w:trPr>
        <w:tc>
          <w:tcPr>
            <w:tcW w:w="1701" w:type="dxa"/>
            <w:tcBorders>
              <w:top w:val="nil"/>
              <w:left w:val="nil"/>
              <w:bottom w:val="single" w:sz="4" w:space="0" w:color="auto"/>
              <w:right w:val="nil"/>
            </w:tcBorders>
            <w:shd w:val="clear" w:color="auto" w:fill="auto"/>
            <w:noWrap/>
            <w:vAlign w:val="bottom"/>
            <w:hideMark/>
          </w:tcPr>
          <w:p w14:paraId="089CFC3A" w14:textId="77777777" w:rsidR="00456DCC" w:rsidRPr="00456DCC" w:rsidRDefault="00456DCC" w:rsidP="00D14FEE">
            <w:pPr>
              <w:ind w:left="-69"/>
              <w:rPr>
                <w:rFonts w:eastAsia="Times New Roman"/>
                <w:color w:val="000000"/>
                <w:sz w:val="20"/>
                <w:szCs w:val="20"/>
                <w:lang w:eastAsia="pt-BR"/>
              </w:rPr>
            </w:pPr>
            <w:r w:rsidRPr="00456DCC">
              <w:rPr>
                <w:rFonts w:eastAsia="Times New Roman"/>
                <w:color w:val="000000"/>
                <w:sz w:val="20"/>
                <w:szCs w:val="20"/>
                <w:lang w:eastAsia="pt-BR"/>
              </w:rPr>
              <w:t>Empresas do Alto Vale</w:t>
            </w:r>
          </w:p>
        </w:tc>
        <w:tc>
          <w:tcPr>
            <w:tcW w:w="992" w:type="dxa"/>
            <w:tcBorders>
              <w:top w:val="nil"/>
              <w:left w:val="nil"/>
              <w:bottom w:val="single" w:sz="4" w:space="0" w:color="auto"/>
              <w:right w:val="nil"/>
            </w:tcBorders>
            <w:shd w:val="clear" w:color="auto" w:fill="auto"/>
            <w:noWrap/>
            <w:vAlign w:val="bottom"/>
            <w:hideMark/>
          </w:tcPr>
          <w:p w14:paraId="0984E636"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74</w:t>
            </w:r>
          </w:p>
        </w:tc>
        <w:tc>
          <w:tcPr>
            <w:tcW w:w="851" w:type="dxa"/>
            <w:tcBorders>
              <w:top w:val="nil"/>
              <w:left w:val="nil"/>
              <w:bottom w:val="single" w:sz="4" w:space="0" w:color="auto"/>
              <w:right w:val="nil"/>
            </w:tcBorders>
            <w:shd w:val="clear" w:color="auto" w:fill="auto"/>
            <w:noWrap/>
            <w:vAlign w:val="bottom"/>
            <w:hideMark/>
          </w:tcPr>
          <w:p w14:paraId="4A804E61"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27%</w:t>
            </w:r>
          </w:p>
        </w:tc>
        <w:tc>
          <w:tcPr>
            <w:tcW w:w="2126" w:type="dxa"/>
            <w:tcBorders>
              <w:top w:val="nil"/>
              <w:left w:val="nil"/>
              <w:bottom w:val="single" w:sz="4" w:space="0" w:color="auto"/>
              <w:right w:val="nil"/>
            </w:tcBorders>
            <w:shd w:val="clear" w:color="auto" w:fill="auto"/>
            <w:noWrap/>
            <w:vAlign w:val="bottom"/>
            <w:hideMark/>
          </w:tcPr>
          <w:p w14:paraId="374BB1E3"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Empresas do Alto Vale</w:t>
            </w:r>
          </w:p>
        </w:tc>
        <w:tc>
          <w:tcPr>
            <w:tcW w:w="1276" w:type="dxa"/>
            <w:tcBorders>
              <w:top w:val="nil"/>
              <w:left w:val="nil"/>
              <w:bottom w:val="single" w:sz="4" w:space="0" w:color="auto"/>
              <w:right w:val="nil"/>
            </w:tcBorders>
            <w:shd w:val="clear" w:color="auto" w:fill="auto"/>
            <w:noWrap/>
            <w:vAlign w:val="bottom"/>
            <w:hideMark/>
          </w:tcPr>
          <w:p w14:paraId="6DF4125A"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41</w:t>
            </w:r>
          </w:p>
        </w:tc>
        <w:tc>
          <w:tcPr>
            <w:tcW w:w="1134" w:type="dxa"/>
            <w:tcBorders>
              <w:top w:val="nil"/>
              <w:left w:val="nil"/>
              <w:bottom w:val="single" w:sz="4" w:space="0" w:color="auto"/>
              <w:right w:val="nil"/>
            </w:tcBorders>
            <w:shd w:val="clear" w:color="auto" w:fill="auto"/>
            <w:noWrap/>
            <w:vAlign w:val="bottom"/>
            <w:hideMark/>
          </w:tcPr>
          <w:p w14:paraId="4770EC13"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21%</w:t>
            </w:r>
          </w:p>
        </w:tc>
      </w:tr>
      <w:tr w:rsidR="00456DCC" w:rsidRPr="00456DCC" w14:paraId="330E7C60" w14:textId="77777777" w:rsidTr="00776D33">
        <w:trPr>
          <w:trHeight w:val="300"/>
        </w:trPr>
        <w:tc>
          <w:tcPr>
            <w:tcW w:w="1701" w:type="dxa"/>
            <w:tcBorders>
              <w:top w:val="nil"/>
              <w:left w:val="nil"/>
              <w:bottom w:val="single" w:sz="4" w:space="0" w:color="auto"/>
              <w:right w:val="nil"/>
            </w:tcBorders>
            <w:shd w:val="clear" w:color="auto" w:fill="auto"/>
            <w:noWrap/>
            <w:vAlign w:val="bottom"/>
            <w:hideMark/>
          </w:tcPr>
          <w:p w14:paraId="4CCF9079" w14:textId="0D4AD32C" w:rsidR="00456DCC" w:rsidRPr="00456DCC" w:rsidRDefault="00456DCC" w:rsidP="00D14FEE">
            <w:pPr>
              <w:ind w:left="-69"/>
              <w:rPr>
                <w:rFonts w:eastAsia="Times New Roman"/>
                <w:color w:val="000000"/>
                <w:sz w:val="20"/>
                <w:szCs w:val="20"/>
                <w:lang w:eastAsia="pt-BR"/>
              </w:rPr>
            </w:pPr>
            <w:r w:rsidRPr="00456DCC">
              <w:rPr>
                <w:rFonts w:eastAsia="Times New Roman"/>
                <w:color w:val="000000"/>
                <w:sz w:val="20"/>
                <w:szCs w:val="20"/>
                <w:lang w:eastAsia="pt-BR"/>
              </w:rPr>
              <w:t>Empresas de fora</w:t>
            </w:r>
          </w:p>
        </w:tc>
        <w:tc>
          <w:tcPr>
            <w:tcW w:w="992" w:type="dxa"/>
            <w:tcBorders>
              <w:top w:val="nil"/>
              <w:left w:val="nil"/>
              <w:bottom w:val="single" w:sz="4" w:space="0" w:color="auto"/>
              <w:right w:val="nil"/>
            </w:tcBorders>
            <w:shd w:val="clear" w:color="auto" w:fill="auto"/>
            <w:noWrap/>
            <w:vAlign w:val="bottom"/>
            <w:hideMark/>
          </w:tcPr>
          <w:p w14:paraId="51E64F64"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121</w:t>
            </w:r>
          </w:p>
        </w:tc>
        <w:tc>
          <w:tcPr>
            <w:tcW w:w="851" w:type="dxa"/>
            <w:tcBorders>
              <w:top w:val="nil"/>
              <w:left w:val="nil"/>
              <w:bottom w:val="single" w:sz="4" w:space="0" w:color="auto"/>
              <w:right w:val="nil"/>
            </w:tcBorders>
            <w:shd w:val="clear" w:color="auto" w:fill="auto"/>
            <w:noWrap/>
            <w:vAlign w:val="bottom"/>
            <w:hideMark/>
          </w:tcPr>
          <w:p w14:paraId="0B809C94"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44%</w:t>
            </w:r>
          </w:p>
        </w:tc>
        <w:tc>
          <w:tcPr>
            <w:tcW w:w="2126" w:type="dxa"/>
            <w:tcBorders>
              <w:top w:val="nil"/>
              <w:left w:val="nil"/>
              <w:bottom w:val="single" w:sz="4" w:space="0" w:color="auto"/>
              <w:right w:val="nil"/>
            </w:tcBorders>
            <w:shd w:val="clear" w:color="auto" w:fill="auto"/>
            <w:noWrap/>
            <w:vAlign w:val="bottom"/>
            <w:hideMark/>
          </w:tcPr>
          <w:p w14:paraId="600386CC"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 xml:space="preserve"> Empresas de fora</w:t>
            </w:r>
          </w:p>
        </w:tc>
        <w:tc>
          <w:tcPr>
            <w:tcW w:w="1276" w:type="dxa"/>
            <w:tcBorders>
              <w:top w:val="nil"/>
              <w:left w:val="nil"/>
              <w:bottom w:val="single" w:sz="4" w:space="0" w:color="auto"/>
              <w:right w:val="nil"/>
            </w:tcBorders>
            <w:shd w:val="clear" w:color="auto" w:fill="auto"/>
            <w:noWrap/>
            <w:vAlign w:val="bottom"/>
            <w:hideMark/>
          </w:tcPr>
          <w:p w14:paraId="02572052"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87</w:t>
            </w:r>
          </w:p>
        </w:tc>
        <w:tc>
          <w:tcPr>
            <w:tcW w:w="1134" w:type="dxa"/>
            <w:tcBorders>
              <w:top w:val="nil"/>
              <w:left w:val="nil"/>
              <w:bottom w:val="single" w:sz="4" w:space="0" w:color="auto"/>
              <w:right w:val="nil"/>
            </w:tcBorders>
            <w:shd w:val="clear" w:color="auto" w:fill="auto"/>
            <w:noWrap/>
            <w:vAlign w:val="bottom"/>
            <w:hideMark/>
          </w:tcPr>
          <w:p w14:paraId="637FA5F4" w14:textId="77777777" w:rsidR="00456DCC" w:rsidRPr="00456DCC" w:rsidRDefault="00456DCC" w:rsidP="00456DCC">
            <w:pPr>
              <w:jc w:val="center"/>
              <w:rPr>
                <w:rFonts w:eastAsia="Times New Roman"/>
                <w:color w:val="000000"/>
                <w:sz w:val="20"/>
                <w:szCs w:val="20"/>
                <w:lang w:eastAsia="pt-BR"/>
              </w:rPr>
            </w:pPr>
            <w:r w:rsidRPr="00456DCC">
              <w:rPr>
                <w:rFonts w:eastAsia="Times New Roman"/>
                <w:color w:val="000000"/>
                <w:sz w:val="20"/>
                <w:szCs w:val="20"/>
                <w:lang w:eastAsia="pt-BR"/>
              </w:rPr>
              <w:t>44%</w:t>
            </w:r>
          </w:p>
        </w:tc>
      </w:tr>
    </w:tbl>
    <w:p w14:paraId="534BD437" w14:textId="533435EE" w:rsidR="00456DCC" w:rsidRDefault="00A16A01" w:rsidP="00776D33">
      <w:pPr>
        <w:spacing w:after="160" w:line="259" w:lineRule="auto"/>
        <w:ind w:left="284"/>
        <w:rPr>
          <w:sz w:val="20"/>
          <w:szCs w:val="20"/>
        </w:rPr>
      </w:pPr>
      <w:r>
        <w:rPr>
          <w:sz w:val="20"/>
          <w:szCs w:val="20"/>
        </w:rPr>
        <w:t>Fonte: Dados da pesquisa (2021)</w:t>
      </w:r>
    </w:p>
    <w:p w14:paraId="26DFE1F9" w14:textId="77777777" w:rsidR="00776D33" w:rsidRDefault="00776D33" w:rsidP="004E5221">
      <w:pPr>
        <w:spacing w:after="160"/>
        <w:ind w:left="284"/>
        <w:rPr>
          <w:sz w:val="20"/>
          <w:szCs w:val="20"/>
        </w:rPr>
      </w:pPr>
    </w:p>
    <w:p w14:paraId="1E84CFF9" w14:textId="161E5E9C" w:rsidR="00BE4F59" w:rsidRDefault="00A16A01" w:rsidP="00BE4F59">
      <w:pPr>
        <w:pStyle w:val="UnidaviTexto-Espao15"/>
      </w:pPr>
      <w:r>
        <w:t>A Tabela 8 ilustra</w:t>
      </w:r>
      <w:r w:rsidR="00083269">
        <w:t xml:space="preserve"> </w:t>
      </w:r>
      <w:r w:rsidR="009E2E16">
        <w:t xml:space="preserve">ainda </w:t>
      </w:r>
      <w:r w:rsidR="00BE4F59">
        <w:t xml:space="preserve">que das </w:t>
      </w:r>
      <w:r w:rsidR="00083269">
        <w:t>277 participações no ano de 2018</w:t>
      </w:r>
      <w:r w:rsidR="00F51C9A">
        <w:t>, tiveram apenas 198</w:t>
      </w:r>
      <w:r w:rsidR="00BE4F59">
        <w:t xml:space="preserve"> que foram vencedoras no processo licitatório do município. </w:t>
      </w:r>
    </w:p>
    <w:p w14:paraId="7FF0E3FE" w14:textId="263333FB" w:rsidR="006B4F46" w:rsidRDefault="006B4F46" w:rsidP="00916ED5">
      <w:pPr>
        <w:pStyle w:val="UnidaviTexto-Espao15"/>
        <w:ind w:firstLine="0"/>
      </w:pPr>
    </w:p>
    <w:p w14:paraId="4BD61B52" w14:textId="4F9A0BC9" w:rsidR="00EA6051" w:rsidRDefault="00A16A01" w:rsidP="00A16A01">
      <w:pPr>
        <w:pStyle w:val="UnidaviTexto-Espao15"/>
        <w:spacing w:line="240" w:lineRule="auto"/>
        <w:ind w:left="284" w:firstLine="0"/>
      </w:pPr>
      <w:r w:rsidRPr="007F2776">
        <w:rPr>
          <w:b/>
          <w:sz w:val="20"/>
        </w:rPr>
        <w:t>Gr</w:t>
      </w:r>
      <w:r>
        <w:rPr>
          <w:b/>
          <w:sz w:val="20"/>
        </w:rPr>
        <w:t>áfico 11</w:t>
      </w:r>
      <w:r w:rsidRPr="007F2776">
        <w:rPr>
          <w:b/>
          <w:sz w:val="20"/>
        </w:rPr>
        <w:t xml:space="preserve"> – </w:t>
      </w:r>
      <w:r>
        <w:rPr>
          <w:b/>
          <w:sz w:val="20"/>
        </w:rPr>
        <w:t>Quantidade de participações vencedoras por região no ano 2018</w:t>
      </w:r>
    </w:p>
    <w:p w14:paraId="061B9317" w14:textId="4FDEDCA3" w:rsidR="00EA6051" w:rsidRPr="00A16A01" w:rsidRDefault="00EA6051" w:rsidP="00A16A01">
      <w:pPr>
        <w:pStyle w:val="UnidaviTexto-Espao15"/>
        <w:tabs>
          <w:tab w:val="left" w:pos="8789"/>
        </w:tabs>
        <w:spacing w:line="240" w:lineRule="auto"/>
        <w:ind w:left="284" w:right="283" w:firstLine="0"/>
      </w:pPr>
      <w:r>
        <w:rPr>
          <w:noProof/>
        </w:rPr>
        <w:drawing>
          <wp:inline distT="0" distB="0" distL="0" distR="0" wp14:anchorId="1F77FF1B" wp14:editId="49D468A7">
            <wp:extent cx="5227607" cy="2726690"/>
            <wp:effectExtent l="0" t="0" r="11430" b="1651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E68CAE" w14:textId="45C12375" w:rsidR="00EA6051" w:rsidRPr="001E0F72" w:rsidRDefault="00A16A01" w:rsidP="00EA6051">
      <w:pPr>
        <w:pStyle w:val="UnidaviTexto-Espao15"/>
        <w:spacing w:line="240" w:lineRule="auto"/>
        <w:ind w:left="284" w:firstLine="0"/>
        <w:contextualSpacing/>
        <w:rPr>
          <w:sz w:val="20"/>
        </w:rPr>
      </w:pPr>
      <w:r>
        <w:rPr>
          <w:sz w:val="20"/>
        </w:rPr>
        <w:t>Fonte: Dados da pesquisa (2021)</w:t>
      </w:r>
    </w:p>
    <w:p w14:paraId="162F734D" w14:textId="1AD856F7" w:rsidR="00EA6051" w:rsidRDefault="00EA6051" w:rsidP="00A16A01">
      <w:pPr>
        <w:spacing w:after="160" w:line="360" w:lineRule="auto"/>
        <w:rPr>
          <w:sz w:val="20"/>
          <w:szCs w:val="20"/>
        </w:rPr>
      </w:pPr>
    </w:p>
    <w:p w14:paraId="7ABD48D9" w14:textId="1CDBA156" w:rsidR="00EA6051" w:rsidRDefault="002565D2" w:rsidP="00EA6051">
      <w:pPr>
        <w:pStyle w:val="UnidaviTexto-Espao15"/>
      </w:pPr>
      <w:r>
        <w:t>Observa-se</w:t>
      </w:r>
      <w:r w:rsidR="00EA6051">
        <w:t xml:space="preserve"> </w:t>
      </w:r>
      <w:r w:rsidR="00654C6C">
        <w:t xml:space="preserve">através do Gráfico 11, </w:t>
      </w:r>
      <w:r w:rsidR="00EA6051">
        <w:t>que a maioria das participaç</w:t>
      </w:r>
      <w:r w:rsidR="00655E11">
        <w:t>ões vencedoras no ano de 2018</w:t>
      </w:r>
      <w:r w:rsidR="00EA6051">
        <w:t xml:space="preserve">, foram de empresas </w:t>
      </w:r>
      <w:r w:rsidR="00655E11">
        <w:t>de fora do Alto Val</w:t>
      </w:r>
      <w:r w:rsidR="007A12EA">
        <w:t>e do Itajaí, que representaram</w:t>
      </w:r>
      <w:r w:rsidR="00F51C9A">
        <w:t xml:space="preserve"> 87</w:t>
      </w:r>
      <w:r w:rsidR="00EA6051">
        <w:t xml:space="preserve"> das </w:t>
      </w:r>
      <w:r w:rsidR="00F51C9A">
        <w:t>198</w:t>
      </w:r>
      <w:r w:rsidR="00EA6051">
        <w:t xml:space="preserve"> participações</w:t>
      </w:r>
      <w:r w:rsidR="00655E11">
        <w:t xml:space="preserve"> cerca de 44%</w:t>
      </w:r>
      <w:r w:rsidR="00EA6051">
        <w:t xml:space="preserve">, </w:t>
      </w:r>
      <w:r w:rsidR="00F51C9A">
        <w:t>e que apenas 70</w:t>
      </w:r>
      <w:r w:rsidR="00655E11">
        <w:t xml:space="preserve"> participações foram de empresas do municí</w:t>
      </w:r>
      <w:r w:rsidR="00F51C9A">
        <w:t>pio de Taió representadas por 35</w:t>
      </w:r>
      <w:r w:rsidR="00655E11">
        <w:t>% do total</w:t>
      </w:r>
      <w:r w:rsidR="00EA6051">
        <w:t xml:space="preserve">. </w:t>
      </w:r>
      <w:r w:rsidR="00655E11">
        <w:t>As participações do Alt</w:t>
      </w:r>
      <w:r w:rsidR="00F51C9A">
        <w:t xml:space="preserve">o Vale do Itajaí representaram </w:t>
      </w:r>
      <w:r w:rsidR="00655E11">
        <w:t>4</w:t>
      </w:r>
      <w:r w:rsidR="00F51C9A">
        <w:t>1 cerca de 21</w:t>
      </w:r>
      <w:r w:rsidR="00655E11">
        <w:t>%.</w:t>
      </w:r>
    </w:p>
    <w:p w14:paraId="2CD25CDD" w14:textId="77777777" w:rsidR="00581EE5" w:rsidRDefault="00581EE5" w:rsidP="00C8633B">
      <w:pPr>
        <w:pStyle w:val="UnidaviTexto-Espao15"/>
        <w:spacing w:line="240" w:lineRule="auto"/>
      </w:pPr>
    </w:p>
    <w:p w14:paraId="43B93F1F" w14:textId="7E7884EA" w:rsidR="00396979" w:rsidRPr="00A16A01" w:rsidRDefault="00654C6C" w:rsidP="00A16A01">
      <w:pPr>
        <w:ind w:left="284"/>
        <w:rPr>
          <w:b/>
          <w:sz w:val="20"/>
          <w:szCs w:val="20"/>
        </w:rPr>
      </w:pPr>
      <w:r>
        <w:rPr>
          <w:b/>
          <w:sz w:val="20"/>
          <w:szCs w:val="20"/>
        </w:rPr>
        <w:t xml:space="preserve">Tabela </w:t>
      </w:r>
      <w:r w:rsidR="00396979" w:rsidRPr="00A16A01">
        <w:rPr>
          <w:b/>
          <w:sz w:val="20"/>
          <w:szCs w:val="20"/>
        </w:rPr>
        <w:t>9 – Valor das empresas vencedoras no ano 2018</w:t>
      </w:r>
    </w:p>
    <w:tbl>
      <w:tblPr>
        <w:tblW w:w="8217" w:type="dxa"/>
        <w:tblInd w:w="284" w:type="dxa"/>
        <w:tblCellMar>
          <w:left w:w="70" w:type="dxa"/>
          <w:right w:w="70" w:type="dxa"/>
        </w:tblCellMar>
        <w:tblLook w:val="04A0" w:firstRow="1" w:lastRow="0" w:firstColumn="1" w:lastColumn="0" w:noHBand="0" w:noVBand="1"/>
      </w:tblPr>
      <w:tblGrid>
        <w:gridCol w:w="2460"/>
        <w:gridCol w:w="1915"/>
        <w:gridCol w:w="1651"/>
        <w:gridCol w:w="2191"/>
      </w:tblGrid>
      <w:tr w:rsidR="00396979" w:rsidRPr="00396979" w14:paraId="0DAA104C" w14:textId="77777777" w:rsidTr="00916ED5">
        <w:trPr>
          <w:trHeight w:val="310"/>
        </w:trPr>
        <w:tc>
          <w:tcPr>
            <w:tcW w:w="2460" w:type="dxa"/>
            <w:tcBorders>
              <w:top w:val="single" w:sz="4" w:space="0" w:color="auto"/>
              <w:left w:val="nil"/>
              <w:bottom w:val="single" w:sz="4" w:space="0" w:color="auto"/>
              <w:right w:val="nil"/>
            </w:tcBorders>
            <w:shd w:val="clear" w:color="000000" w:fill="FFFFFF"/>
            <w:noWrap/>
            <w:vAlign w:val="bottom"/>
            <w:hideMark/>
          </w:tcPr>
          <w:p w14:paraId="2EAE7DCE" w14:textId="77777777" w:rsidR="00396979" w:rsidRPr="00396979" w:rsidRDefault="00396979" w:rsidP="00916ED5">
            <w:pPr>
              <w:ind w:left="-69"/>
              <w:rPr>
                <w:rFonts w:eastAsia="Times New Roman"/>
                <w:b/>
                <w:bCs/>
                <w:color w:val="000000"/>
                <w:sz w:val="20"/>
                <w:szCs w:val="20"/>
                <w:lang w:eastAsia="pt-BR"/>
              </w:rPr>
            </w:pPr>
            <w:r w:rsidRPr="00396979">
              <w:rPr>
                <w:rFonts w:eastAsia="Times New Roman"/>
                <w:b/>
                <w:bCs/>
                <w:color w:val="000000"/>
                <w:sz w:val="20"/>
                <w:szCs w:val="20"/>
                <w:lang w:eastAsia="pt-BR"/>
              </w:rPr>
              <w:t>Vencedores</w:t>
            </w:r>
          </w:p>
        </w:tc>
        <w:tc>
          <w:tcPr>
            <w:tcW w:w="1915" w:type="dxa"/>
            <w:tcBorders>
              <w:top w:val="single" w:sz="4" w:space="0" w:color="auto"/>
              <w:left w:val="nil"/>
              <w:bottom w:val="single" w:sz="4" w:space="0" w:color="auto"/>
              <w:right w:val="nil"/>
            </w:tcBorders>
            <w:shd w:val="clear" w:color="000000" w:fill="FFFFFF"/>
            <w:noWrap/>
            <w:vAlign w:val="bottom"/>
            <w:hideMark/>
          </w:tcPr>
          <w:p w14:paraId="771D1D67" w14:textId="77777777" w:rsidR="00396979" w:rsidRPr="00396979" w:rsidRDefault="00396979" w:rsidP="00396979">
            <w:pPr>
              <w:jc w:val="center"/>
              <w:rPr>
                <w:rFonts w:eastAsia="Times New Roman"/>
                <w:b/>
                <w:bCs/>
                <w:color w:val="000000"/>
                <w:sz w:val="20"/>
                <w:szCs w:val="20"/>
                <w:lang w:eastAsia="pt-BR"/>
              </w:rPr>
            </w:pPr>
            <w:r w:rsidRPr="00396979">
              <w:rPr>
                <w:rFonts w:eastAsia="Times New Roman"/>
                <w:b/>
                <w:bCs/>
                <w:color w:val="000000"/>
                <w:sz w:val="20"/>
                <w:szCs w:val="20"/>
                <w:lang w:eastAsia="pt-BR"/>
              </w:rPr>
              <w:t>Total de empresas</w:t>
            </w:r>
          </w:p>
        </w:tc>
        <w:tc>
          <w:tcPr>
            <w:tcW w:w="1651" w:type="dxa"/>
            <w:tcBorders>
              <w:top w:val="single" w:sz="4" w:space="0" w:color="auto"/>
              <w:left w:val="nil"/>
              <w:bottom w:val="single" w:sz="4" w:space="0" w:color="auto"/>
              <w:right w:val="nil"/>
            </w:tcBorders>
            <w:shd w:val="clear" w:color="auto" w:fill="auto"/>
            <w:noWrap/>
            <w:vAlign w:val="bottom"/>
            <w:hideMark/>
          </w:tcPr>
          <w:p w14:paraId="32FDE2E4" w14:textId="77777777" w:rsidR="00396979" w:rsidRPr="00396979" w:rsidRDefault="00396979" w:rsidP="00396979">
            <w:pPr>
              <w:jc w:val="center"/>
              <w:rPr>
                <w:rFonts w:eastAsia="Times New Roman"/>
                <w:b/>
                <w:bCs/>
                <w:color w:val="000000"/>
                <w:sz w:val="20"/>
                <w:szCs w:val="20"/>
                <w:lang w:eastAsia="pt-BR"/>
              </w:rPr>
            </w:pPr>
            <w:r w:rsidRPr="00396979">
              <w:rPr>
                <w:rFonts w:eastAsia="Times New Roman"/>
                <w:b/>
                <w:bCs/>
                <w:color w:val="000000"/>
                <w:sz w:val="20"/>
                <w:szCs w:val="20"/>
                <w:lang w:eastAsia="pt-BR"/>
              </w:rPr>
              <w:t>Valor empresas</w:t>
            </w:r>
          </w:p>
        </w:tc>
        <w:tc>
          <w:tcPr>
            <w:tcW w:w="2191" w:type="dxa"/>
            <w:tcBorders>
              <w:top w:val="single" w:sz="4" w:space="0" w:color="auto"/>
              <w:left w:val="nil"/>
              <w:bottom w:val="single" w:sz="4" w:space="0" w:color="auto"/>
              <w:right w:val="nil"/>
            </w:tcBorders>
            <w:shd w:val="clear" w:color="auto" w:fill="auto"/>
            <w:noWrap/>
            <w:vAlign w:val="bottom"/>
            <w:hideMark/>
          </w:tcPr>
          <w:p w14:paraId="50F62303" w14:textId="77777777" w:rsidR="00396979" w:rsidRPr="00396979" w:rsidRDefault="00396979" w:rsidP="00396979">
            <w:pPr>
              <w:jc w:val="center"/>
              <w:rPr>
                <w:rFonts w:eastAsia="Times New Roman"/>
                <w:b/>
                <w:bCs/>
                <w:color w:val="000000"/>
                <w:sz w:val="20"/>
                <w:szCs w:val="20"/>
                <w:lang w:eastAsia="pt-BR"/>
              </w:rPr>
            </w:pPr>
            <w:r w:rsidRPr="00396979">
              <w:rPr>
                <w:rFonts w:eastAsia="Times New Roman"/>
                <w:b/>
                <w:bCs/>
                <w:color w:val="000000"/>
                <w:sz w:val="20"/>
                <w:szCs w:val="20"/>
                <w:lang w:eastAsia="pt-BR"/>
              </w:rPr>
              <w:t>%</w:t>
            </w:r>
          </w:p>
        </w:tc>
      </w:tr>
      <w:tr w:rsidR="00396979" w:rsidRPr="00396979" w14:paraId="22517FE8" w14:textId="77777777" w:rsidTr="00916ED5">
        <w:trPr>
          <w:trHeight w:val="310"/>
        </w:trPr>
        <w:tc>
          <w:tcPr>
            <w:tcW w:w="2460" w:type="dxa"/>
            <w:tcBorders>
              <w:top w:val="nil"/>
              <w:left w:val="nil"/>
              <w:bottom w:val="single" w:sz="4" w:space="0" w:color="auto"/>
              <w:right w:val="nil"/>
            </w:tcBorders>
            <w:shd w:val="clear" w:color="000000" w:fill="FFFFFF"/>
            <w:noWrap/>
            <w:vAlign w:val="bottom"/>
            <w:hideMark/>
          </w:tcPr>
          <w:p w14:paraId="503FDDCB" w14:textId="77777777" w:rsidR="00396979" w:rsidRPr="00396979" w:rsidRDefault="00396979" w:rsidP="00916ED5">
            <w:pPr>
              <w:ind w:left="-69"/>
              <w:rPr>
                <w:rFonts w:eastAsia="Times New Roman"/>
                <w:color w:val="000000"/>
                <w:sz w:val="20"/>
                <w:szCs w:val="20"/>
                <w:lang w:eastAsia="pt-BR"/>
              </w:rPr>
            </w:pPr>
            <w:r w:rsidRPr="00396979">
              <w:rPr>
                <w:rFonts w:eastAsia="Times New Roman"/>
                <w:color w:val="000000"/>
                <w:sz w:val="20"/>
                <w:szCs w:val="20"/>
                <w:lang w:eastAsia="pt-BR"/>
              </w:rPr>
              <w:t>Ano 2018</w:t>
            </w:r>
          </w:p>
        </w:tc>
        <w:tc>
          <w:tcPr>
            <w:tcW w:w="1915" w:type="dxa"/>
            <w:tcBorders>
              <w:top w:val="nil"/>
              <w:left w:val="nil"/>
              <w:bottom w:val="single" w:sz="4" w:space="0" w:color="auto"/>
              <w:right w:val="nil"/>
            </w:tcBorders>
            <w:shd w:val="clear" w:color="000000" w:fill="FFFFFF"/>
            <w:noWrap/>
            <w:vAlign w:val="bottom"/>
            <w:hideMark/>
          </w:tcPr>
          <w:p w14:paraId="3D2C98B3" w14:textId="77777777" w:rsidR="00396979" w:rsidRPr="00396979" w:rsidRDefault="00396979" w:rsidP="00396979">
            <w:pPr>
              <w:jc w:val="center"/>
              <w:rPr>
                <w:rFonts w:eastAsia="Times New Roman"/>
                <w:color w:val="000000"/>
                <w:sz w:val="20"/>
                <w:szCs w:val="20"/>
                <w:lang w:eastAsia="pt-BR"/>
              </w:rPr>
            </w:pPr>
            <w:r w:rsidRPr="00396979">
              <w:rPr>
                <w:rFonts w:eastAsia="Times New Roman"/>
                <w:color w:val="000000"/>
                <w:sz w:val="20"/>
                <w:szCs w:val="20"/>
                <w:lang w:eastAsia="pt-BR"/>
              </w:rPr>
              <w:t>198</w:t>
            </w:r>
          </w:p>
        </w:tc>
        <w:tc>
          <w:tcPr>
            <w:tcW w:w="1651" w:type="dxa"/>
            <w:tcBorders>
              <w:top w:val="nil"/>
              <w:left w:val="nil"/>
              <w:bottom w:val="single" w:sz="4" w:space="0" w:color="auto"/>
              <w:right w:val="nil"/>
            </w:tcBorders>
            <w:shd w:val="clear" w:color="auto" w:fill="auto"/>
            <w:noWrap/>
            <w:vAlign w:val="bottom"/>
            <w:hideMark/>
          </w:tcPr>
          <w:p w14:paraId="72EAF0B4" w14:textId="77777777" w:rsidR="00396979" w:rsidRPr="00396979" w:rsidRDefault="00396979" w:rsidP="00396979">
            <w:pPr>
              <w:jc w:val="center"/>
              <w:rPr>
                <w:rFonts w:eastAsia="Times New Roman"/>
                <w:color w:val="000000"/>
                <w:sz w:val="20"/>
                <w:szCs w:val="20"/>
                <w:lang w:eastAsia="pt-BR"/>
              </w:rPr>
            </w:pPr>
            <w:r w:rsidRPr="00396979">
              <w:rPr>
                <w:rFonts w:eastAsia="Times New Roman"/>
                <w:color w:val="000000"/>
                <w:sz w:val="20"/>
                <w:szCs w:val="20"/>
                <w:lang w:eastAsia="pt-BR"/>
              </w:rPr>
              <w:t>14.447.563,26</w:t>
            </w:r>
          </w:p>
        </w:tc>
        <w:tc>
          <w:tcPr>
            <w:tcW w:w="2191" w:type="dxa"/>
            <w:tcBorders>
              <w:top w:val="nil"/>
              <w:left w:val="nil"/>
              <w:bottom w:val="single" w:sz="4" w:space="0" w:color="auto"/>
              <w:right w:val="nil"/>
            </w:tcBorders>
            <w:shd w:val="clear" w:color="auto" w:fill="auto"/>
            <w:noWrap/>
            <w:vAlign w:val="bottom"/>
            <w:hideMark/>
          </w:tcPr>
          <w:p w14:paraId="3A2115E3" w14:textId="77777777" w:rsidR="00396979" w:rsidRPr="00396979" w:rsidRDefault="00396979" w:rsidP="00396979">
            <w:pPr>
              <w:jc w:val="center"/>
              <w:rPr>
                <w:rFonts w:eastAsia="Times New Roman"/>
                <w:color w:val="000000"/>
                <w:sz w:val="20"/>
                <w:szCs w:val="20"/>
                <w:lang w:eastAsia="pt-BR"/>
              </w:rPr>
            </w:pPr>
            <w:r w:rsidRPr="00396979">
              <w:rPr>
                <w:rFonts w:eastAsia="Times New Roman"/>
                <w:color w:val="000000"/>
                <w:sz w:val="20"/>
                <w:szCs w:val="20"/>
                <w:lang w:eastAsia="pt-BR"/>
              </w:rPr>
              <w:t>100%</w:t>
            </w:r>
          </w:p>
        </w:tc>
      </w:tr>
      <w:tr w:rsidR="00396979" w:rsidRPr="00396979" w14:paraId="14822F78" w14:textId="77777777" w:rsidTr="00916ED5">
        <w:trPr>
          <w:trHeight w:val="310"/>
        </w:trPr>
        <w:tc>
          <w:tcPr>
            <w:tcW w:w="2460" w:type="dxa"/>
            <w:tcBorders>
              <w:top w:val="nil"/>
              <w:left w:val="nil"/>
              <w:bottom w:val="single" w:sz="4" w:space="0" w:color="auto"/>
              <w:right w:val="nil"/>
            </w:tcBorders>
            <w:shd w:val="clear" w:color="000000" w:fill="FFFFFF"/>
            <w:noWrap/>
            <w:vAlign w:val="bottom"/>
            <w:hideMark/>
          </w:tcPr>
          <w:p w14:paraId="2BA4A3FA" w14:textId="77777777" w:rsidR="00396979" w:rsidRPr="00396979" w:rsidRDefault="00396979" w:rsidP="00916ED5">
            <w:pPr>
              <w:ind w:left="-69"/>
              <w:rPr>
                <w:rFonts w:eastAsia="Times New Roman"/>
                <w:color w:val="000000"/>
                <w:sz w:val="20"/>
                <w:szCs w:val="20"/>
                <w:lang w:eastAsia="pt-BR"/>
              </w:rPr>
            </w:pPr>
            <w:r w:rsidRPr="00396979">
              <w:rPr>
                <w:rFonts w:eastAsia="Times New Roman"/>
                <w:color w:val="000000"/>
                <w:sz w:val="20"/>
                <w:szCs w:val="20"/>
                <w:lang w:eastAsia="pt-BR"/>
              </w:rPr>
              <w:t>Valor Empresas de Taió</w:t>
            </w:r>
          </w:p>
        </w:tc>
        <w:tc>
          <w:tcPr>
            <w:tcW w:w="1915" w:type="dxa"/>
            <w:tcBorders>
              <w:top w:val="nil"/>
              <w:left w:val="nil"/>
              <w:bottom w:val="single" w:sz="4" w:space="0" w:color="auto"/>
              <w:right w:val="nil"/>
            </w:tcBorders>
            <w:shd w:val="clear" w:color="000000" w:fill="FFFFFF"/>
            <w:noWrap/>
            <w:vAlign w:val="bottom"/>
            <w:hideMark/>
          </w:tcPr>
          <w:p w14:paraId="6633663D" w14:textId="77777777" w:rsidR="00396979" w:rsidRPr="00396979" w:rsidRDefault="00396979" w:rsidP="00396979">
            <w:pPr>
              <w:jc w:val="center"/>
              <w:rPr>
                <w:rFonts w:eastAsia="Times New Roman"/>
                <w:color w:val="000000"/>
                <w:sz w:val="20"/>
                <w:szCs w:val="20"/>
                <w:lang w:eastAsia="pt-BR"/>
              </w:rPr>
            </w:pPr>
            <w:r w:rsidRPr="00396979">
              <w:rPr>
                <w:rFonts w:eastAsia="Times New Roman"/>
                <w:color w:val="000000"/>
                <w:sz w:val="20"/>
                <w:szCs w:val="20"/>
                <w:lang w:eastAsia="pt-BR"/>
              </w:rPr>
              <w:t>70</w:t>
            </w:r>
          </w:p>
        </w:tc>
        <w:tc>
          <w:tcPr>
            <w:tcW w:w="1651" w:type="dxa"/>
            <w:tcBorders>
              <w:top w:val="nil"/>
              <w:left w:val="nil"/>
              <w:bottom w:val="single" w:sz="4" w:space="0" w:color="auto"/>
              <w:right w:val="nil"/>
            </w:tcBorders>
            <w:shd w:val="clear" w:color="000000" w:fill="FFFFFF"/>
            <w:noWrap/>
            <w:vAlign w:val="bottom"/>
            <w:hideMark/>
          </w:tcPr>
          <w:p w14:paraId="5CE629BF" w14:textId="77777777" w:rsidR="00396979" w:rsidRPr="00396979" w:rsidRDefault="00396979" w:rsidP="00396979">
            <w:pPr>
              <w:jc w:val="center"/>
              <w:rPr>
                <w:rFonts w:eastAsia="Times New Roman"/>
                <w:color w:val="000000"/>
                <w:sz w:val="20"/>
                <w:szCs w:val="20"/>
                <w:lang w:eastAsia="pt-BR"/>
              </w:rPr>
            </w:pPr>
            <w:r w:rsidRPr="00396979">
              <w:rPr>
                <w:rFonts w:eastAsia="Times New Roman"/>
                <w:color w:val="000000"/>
                <w:sz w:val="20"/>
                <w:szCs w:val="20"/>
                <w:lang w:eastAsia="pt-BR"/>
              </w:rPr>
              <w:t>5.180.784,07</w:t>
            </w:r>
          </w:p>
        </w:tc>
        <w:tc>
          <w:tcPr>
            <w:tcW w:w="2191" w:type="dxa"/>
            <w:tcBorders>
              <w:top w:val="nil"/>
              <w:left w:val="nil"/>
              <w:bottom w:val="single" w:sz="4" w:space="0" w:color="auto"/>
              <w:right w:val="nil"/>
            </w:tcBorders>
            <w:shd w:val="clear" w:color="000000" w:fill="FFFFFF"/>
            <w:noWrap/>
            <w:vAlign w:val="bottom"/>
            <w:hideMark/>
          </w:tcPr>
          <w:p w14:paraId="04DC5A55" w14:textId="77777777" w:rsidR="00396979" w:rsidRPr="00396979" w:rsidRDefault="00396979" w:rsidP="00396979">
            <w:pPr>
              <w:jc w:val="center"/>
              <w:rPr>
                <w:rFonts w:eastAsia="Times New Roman"/>
                <w:color w:val="000000"/>
                <w:sz w:val="20"/>
                <w:szCs w:val="20"/>
                <w:lang w:eastAsia="pt-BR"/>
              </w:rPr>
            </w:pPr>
            <w:r w:rsidRPr="00396979">
              <w:rPr>
                <w:rFonts w:eastAsia="Times New Roman"/>
                <w:color w:val="000000"/>
                <w:sz w:val="20"/>
                <w:szCs w:val="20"/>
                <w:lang w:eastAsia="pt-BR"/>
              </w:rPr>
              <w:t>36%</w:t>
            </w:r>
          </w:p>
        </w:tc>
      </w:tr>
      <w:tr w:rsidR="00396979" w:rsidRPr="00396979" w14:paraId="5DD253E0" w14:textId="77777777" w:rsidTr="00916ED5">
        <w:trPr>
          <w:trHeight w:val="310"/>
        </w:trPr>
        <w:tc>
          <w:tcPr>
            <w:tcW w:w="2460" w:type="dxa"/>
            <w:tcBorders>
              <w:top w:val="nil"/>
              <w:left w:val="nil"/>
              <w:bottom w:val="single" w:sz="4" w:space="0" w:color="auto"/>
              <w:right w:val="nil"/>
            </w:tcBorders>
            <w:shd w:val="clear" w:color="000000" w:fill="FFFFFF"/>
            <w:noWrap/>
            <w:vAlign w:val="bottom"/>
            <w:hideMark/>
          </w:tcPr>
          <w:p w14:paraId="6163D819" w14:textId="77777777" w:rsidR="00396979" w:rsidRPr="00396979" w:rsidRDefault="00396979" w:rsidP="00916ED5">
            <w:pPr>
              <w:ind w:left="-69"/>
              <w:rPr>
                <w:rFonts w:eastAsia="Times New Roman"/>
                <w:color w:val="000000"/>
                <w:sz w:val="20"/>
                <w:szCs w:val="20"/>
                <w:lang w:eastAsia="pt-BR"/>
              </w:rPr>
            </w:pPr>
            <w:r w:rsidRPr="00396979">
              <w:rPr>
                <w:rFonts w:eastAsia="Times New Roman"/>
                <w:color w:val="000000"/>
                <w:sz w:val="20"/>
                <w:szCs w:val="20"/>
                <w:lang w:eastAsia="pt-BR"/>
              </w:rPr>
              <w:t>Valor Empresas do Alto Vale</w:t>
            </w:r>
          </w:p>
        </w:tc>
        <w:tc>
          <w:tcPr>
            <w:tcW w:w="1915" w:type="dxa"/>
            <w:tcBorders>
              <w:top w:val="nil"/>
              <w:left w:val="nil"/>
              <w:bottom w:val="single" w:sz="4" w:space="0" w:color="auto"/>
              <w:right w:val="nil"/>
            </w:tcBorders>
            <w:shd w:val="clear" w:color="000000" w:fill="FFFFFF"/>
            <w:noWrap/>
            <w:vAlign w:val="bottom"/>
            <w:hideMark/>
          </w:tcPr>
          <w:p w14:paraId="4E661830" w14:textId="77777777" w:rsidR="00396979" w:rsidRPr="00396979" w:rsidRDefault="00396979" w:rsidP="00396979">
            <w:pPr>
              <w:jc w:val="center"/>
              <w:rPr>
                <w:rFonts w:eastAsia="Times New Roman"/>
                <w:color w:val="000000"/>
                <w:sz w:val="20"/>
                <w:szCs w:val="20"/>
                <w:lang w:eastAsia="pt-BR"/>
              </w:rPr>
            </w:pPr>
            <w:r w:rsidRPr="00396979">
              <w:rPr>
                <w:rFonts w:eastAsia="Times New Roman"/>
                <w:color w:val="000000"/>
                <w:sz w:val="20"/>
                <w:szCs w:val="20"/>
                <w:lang w:eastAsia="pt-BR"/>
              </w:rPr>
              <w:t>41</w:t>
            </w:r>
          </w:p>
        </w:tc>
        <w:tc>
          <w:tcPr>
            <w:tcW w:w="1651" w:type="dxa"/>
            <w:tcBorders>
              <w:top w:val="nil"/>
              <w:left w:val="nil"/>
              <w:bottom w:val="single" w:sz="4" w:space="0" w:color="auto"/>
              <w:right w:val="nil"/>
            </w:tcBorders>
            <w:shd w:val="clear" w:color="000000" w:fill="FFFFFF"/>
            <w:noWrap/>
            <w:vAlign w:val="bottom"/>
            <w:hideMark/>
          </w:tcPr>
          <w:p w14:paraId="3DBAD2DD" w14:textId="77777777" w:rsidR="00396979" w:rsidRPr="00396979" w:rsidRDefault="00396979" w:rsidP="00396979">
            <w:pPr>
              <w:jc w:val="center"/>
              <w:rPr>
                <w:rFonts w:eastAsia="Times New Roman"/>
                <w:color w:val="000000"/>
                <w:sz w:val="20"/>
                <w:szCs w:val="20"/>
                <w:lang w:eastAsia="pt-BR"/>
              </w:rPr>
            </w:pPr>
            <w:r w:rsidRPr="00396979">
              <w:rPr>
                <w:rFonts w:eastAsia="Times New Roman"/>
                <w:color w:val="000000"/>
                <w:sz w:val="20"/>
                <w:szCs w:val="20"/>
                <w:lang w:eastAsia="pt-BR"/>
              </w:rPr>
              <w:t>3.966.290,46</w:t>
            </w:r>
          </w:p>
        </w:tc>
        <w:tc>
          <w:tcPr>
            <w:tcW w:w="2191" w:type="dxa"/>
            <w:tcBorders>
              <w:top w:val="nil"/>
              <w:left w:val="nil"/>
              <w:bottom w:val="single" w:sz="4" w:space="0" w:color="auto"/>
              <w:right w:val="nil"/>
            </w:tcBorders>
            <w:shd w:val="clear" w:color="000000" w:fill="FFFFFF"/>
            <w:noWrap/>
            <w:vAlign w:val="bottom"/>
            <w:hideMark/>
          </w:tcPr>
          <w:p w14:paraId="43383191" w14:textId="77777777" w:rsidR="00396979" w:rsidRPr="00396979" w:rsidRDefault="00396979" w:rsidP="00396979">
            <w:pPr>
              <w:jc w:val="center"/>
              <w:rPr>
                <w:rFonts w:eastAsia="Times New Roman"/>
                <w:color w:val="000000"/>
                <w:sz w:val="20"/>
                <w:szCs w:val="20"/>
                <w:lang w:eastAsia="pt-BR"/>
              </w:rPr>
            </w:pPr>
            <w:r w:rsidRPr="00396979">
              <w:rPr>
                <w:rFonts w:eastAsia="Times New Roman"/>
                <w:color w:val="000000"/>
                <w:sz w:val="20"/>
                <w:szCs w:val="20"/>
                <w:lang w:eastAsia="pt-BR"/>
              </w:rPr>
              <w:t>27%</w:t>
            </w:r>
          </w:p>
        </w:tc>
      </w:tr>
      <w:tr w:rsidR="00396979" w:rsidRPr="00396979" w14:paraId="0BC19B3D" w14:textId="77777777" w:rsidTr="00916ED5">
        <w:trPr>
          <w:trHeight w:val="310"/>
        </w:trPr>
        <w:tc>
          <w:tcPr>
            <w:tcW w:w="2460" w:type="dxa"/>
            <w:tcBorders>
              <w:top w:val="nil"/>
              <w:left w:val="nil"/>
              <w:bottom w:val="single" w:sz="4" w:space="0" w:color="auto"/>
              <w:right w:val="nil"/>
            </w:tcBorders>
            <w:shd w:val="clear" w:color="000000" w:fill="FFFFFF"/>
            <w:noWrap/>
            <w:vAlign w:val="bottom"/>
            <w:hideMark/>
          </w:tcPr>
          <w:p w14:paraId="68E8AE29" w14:textId="77777777" w:rsidR="00396979" w:rsidRPr="00396979" w:rsidRDefault="00396979" w:rsidP="00916ED5">
            <w:pPr>
              <w:ind w:left="-69"/>
              <w:rPr>
                <w:rFonts w:eastAsia="Times New Roman"/>
                <w:color w:val="000000"/>
                <w:sz w:val="20"/>
                <w:szCs w:val="20"/>
                <w:lang w:eastAsia="pt-BR"/>
              </w:rPr>
            </w:pPr>
            <w:r w:rsidRPr="00396979">
              <w:rPr>
                <w:rFonts w:eastAsia="Times New Roman"/>
                <w:color w:val="000000"/>
                <w:sz w:val="20"/>
                <w:szCs w:val="20"/>
                <w:lang w:eastAsia="pt-BR"/>
              </w:rPr>
              <w:t>Valor Empresas de Fora</w:t>
            </w:r>
          </w:p>
        </w:tc>
        <w:tc>
          <w:tcPr>
            <w:tcW w:w="1915" w:type="dxa"/>
            <w:tcBorders>
              <w:top w:val="nil"/>
              <w:left w:val="nil"/>
              <w:bottom w:val="single" w:sz="4" w:space="0" w:color="auto"/>
              <w:right w:val="nil"/>
            </w:tcBorders>
            <w:shd w:val="clear" w:color="000000" w:fill="FFFFFF"/>
            <w:noWrap/>
            <w:vAlign w:val="bottom"/>
            <w:hideMark/>
          </w:tcPr>
          <w:p w14:paraId="416E496A" w14:textId="77777777" w:rsidR="00396979" w:rsidRPr="00396979" w:rsidRDefault="00396979" w:rsidP="00396979">
            <w:pPr>
              <w:jc w:val="center"/>
              <w:rPr>
                <w:rFonts w:eastAsia="Times New Roman"/>
                <w:color w:val="000000"/>
                <w:sz w:val="20"/>
                <w:szCs w:val="20"/>
                <w:lang w:eastAsia="pt-BR"/>
              </w:rPr>
            </w:pPr>
            <w:r w:rsidRPr="00396979">
              <w:rPr>
                <w:rFonts w:eastAsia="Times New Roman"/>
                <w:color w:val="000000"/>
                <w:sz w:val="20"/>
                <w:szCs w:val="20"/>
                <w:lang w:eastAsia="pt-BR"/>
              </w:rPr>
              <w:t>87</w:t>
            </w:r>
          </w:p>
        </w:tc>
        <w:tc>
          <w:tcPr>
            <w:tcW w:w="1651" w:type="dxa"/>
            <w:tcBorders>
              <w:top w:val="nil"/>
              <w:left w:val="nil"/>
              <w:bottom w:val="single" w:sz="4" w:space="0" w:color="auto"/>
              <w:right w:val="nil"/>
            </w:tcBorders>
            <w:shd w:val="clear" w:color="000000" w:fill="FFFFFF"/>
            <w:noWrap/>
            <w:vAlign w:val="bottom"/>
            <w:hideMark/>
          </w:tcPr>
          <w:p w14:paraId="3F033E46" w14:textId="77777777" w:rsidR="00396979" w:rsidRPr="00396979" w:rsidRDefault="00396979" w:rsidP="00396979">
            <w:pPr>
              <w:jc w:val="center"/>
              <w:rPr>
                <w:rFonts w:eastAsia="Times New Roman"/>
                <w:color w:val="000000"/>
                <w:sz w:val="20"/>
                <w:szCs w:val="20"/>
                <w:lang w:eastAsia="pt-BR"/>
              </w:rPr>
            </w:pPr>
            <w:r w:rsidRPr="00396979">
              <w:rPr>
                <w:rFonts w:eastAsia="Times New Roman"/>
                <w:color w:val="000000"/>
                <w:sz w:val="20"/>
                <w:szCs w:val="20"/>
                <w:lang w:eastAsia="pt-BR"/>
              </w:rPr>
              <w:t>5.300.488,73</w:t>
            </w:r>
          </w:p>
        </w:tc>
        <w:tc>
          <w:tcPr>
            <w:tcW w:w="2191" w:type="dxa"/>
            <w:tcBorders>
              <w:top w:val="nil"/>
              <w:left w:val="nil"/>
              <w:bottom w:val="single" w:sz="4" w:space="0" w:color="auto"/>
              <w:right w:val="nil"/>
            </w:tcBorders>
            <w:shd w:val="clear" w:color="000000" w:fill="FFFFFF"/>
            <w:noWrap/>
            <w:vAlign w:val="bottom"/>
            <w:hideMark/>
          </w:tcPr>
          <w:p w14:paraId="7A78EA4E" w14:textId="77777777" w:rsidR="00396979" w:rsidRPr="00396979" w:rsidRDefault="00396979" w:rsidP="00396979">
            <w:pPr>
              <w:jc w:val="center"/>
              <w:rPr>
                <w:rFonts w:eastAsia="Times New Roman"/>
                <w:color w:val="000000"/>
                <w:sz w:val="20"/>
                <w:szCs w:val="20"/>
                <w:lang w:eastAsia="pt-BR"/>
              </w:rPr>
            </w:pPr>
            <w:r w:rsidRPr="00396979">
              <w:rPr>
                <w:rFonts w:eastAsia="Times New Roman"/>
                <w:color w:val="000000"/>
                <w:sz w:val="20"/>
                <w:szCs w:val="20"/>
                <w:lang w:eastAsia="pt-BR"/>
              </w:rPr>
              <w:t>37%</w:t>
            </w:r>
          </w:p>
        </w:tc>
      </w:tr>
    </w:tbl>
    <w:p w14:paraId="32FE6225" w14:textId="1CB0B259" w:rsidR="00396979" w:rsidRDefault="00A16A01" w:rsidP="00A16A01">
      <w:pPr>
        <w:spacing w:after="160" w:line="259" w:lineRule="auto"/>
        <w:ind w:left="284"/>
        <w:rPr>
          <w:sz w:val="20"/>
          <w:szCs w:val="20"/>
        </w:rPr>
      </w:pPr>
      <w:r>
        <w:rPr>
          <w:sz w:val="20"/>
          <w:szCs w:val="20"/>
        </w:rPr>
        <w:t>Fonte: Dados da pesquisa (2021)</w:t>
      </w:r>
    </w:p>
    <w:p w14:paraId="39738380" w14:textId="77777777" w:rsidR="002565D2" w:rsidRDefault="002565D2" w:rsidP="00C8633B">
      <w:pPr>
        <w:spacing w:after="160"/>
        <w:rPr>
          <w:sz w:val="20"/>
          <w:szCs w:val="20"/>
        </w:rPr>
      </w:pPr>
    </w:p>
    <w:p w14:paraId="0F13A308" w14:textId="252F5052" w:rsidR="00581EE5" w:rsidRDefault="00581EE5" w:rsidP="00581EE5">
      <w:pPr>
        <w:pStyle w:val="UnidaviTexto-Espao15"/>
      </w:pPr>
      <w:r>
        <w:t xml:space="preserve">No ano de 2018, </w:t>
      </w:r>
      <w:r w:rsidR="00654C6C">
        <w:t xml:space="preserve">a Tabela 9 aponta que </w:t>
      </w:r>
      <w:r>
        <w:t>as 94 licitações realizadas totalizaram o valor de R$ 14.447.563,26. Desse total, R$ 5.180.784,07 foram para empresas do município de Taió, R$ 3.966.290,46 foram para empresas que fazem parte do Alto Vale do Itajaí e 5.300.488,73 foram para empresas que são de fora do Alto Vale do I</w:t>
      </w:r>
      <w:r w:rsidR="007A12EA">
        <w:t>tajaí. Percebe-se que apesar d</w:t>
      </w:r>
      <w:r>
        <w:t xml:space="preserve">a quantidade de participações de fora do Alto Vale do Itajaí terem sido consideravelmente maior do que as participações das empresas do município, o valor foi muito próximo com uma diferença de </w:t>
      </w:r>
      <w:r w:rsidR="005D2F9E">
        <w:t xml:space="preserve">apenas </w:t>
      </w:r>
      <w:r>
        <w:t>R$ 119.704,66</w:t>
      </w:r>
      <w:r w:rsidR="007A12EA">
        <w:t>,</w:t>
      </w:r>
      <w:r w:rsidR="00186136">
        <w:t xml:space="preserve"> um valor pequeno em relação ao total de cada categoria.</w:t>
      </w:r>
    </w:p>
    <w:p w14:paraId="784AF63C" w14:textId="77777777" w:rsidR="00A267BF" w:rsidRDefault="00A267BF" w:rsidP="00581EE5">
      <w:pPr>
        <w:pStyle w:val="UnidaviTexto-Espao15"/>
      </w:pPr>
    </w:p>
    <w:p w14:paraId="0391F383" w14:textId="29557212" w:rsidR="00581EE5" w:rsidRDefault="00A267BF" w:rsidP="00A267BF">
      <w:pPr>
        <w:pStyle w:val="UnidaviTexto-Espao15"/>
        <w:spacing w:line="240" w:lineRule="auto"/>
        <w:ind w:left="284" w:firstLine="0"/>
      </w:pPr>
      <w:r w:rsidRPr="007F2776">
        <w:rPr>
          <w:b/>
          <w:sz w:val="20"/>
        </w:rPr>
        <w:t>Gr</w:t>
      </w:r>
      <w:r>
        <w:rPr>
          <w:b/>
          <w:sz w:val="20"/>
        </w:rPr>
        <w:t>áfico 12</w:t>
      </w:r>
      <w:r w:rsidRPr="007F2776">
        <w:rPr>
          <w:b/>
          <w:sz w:val="20"/>
        </w:rPr>
        <w:t xml:space="preserve"> – </w:t>
      </w:r>
      <w:r>
        <w:rPr>
          <w:b/>
          <w:sz w:val="20"/>
        </w:rPr>
        <w:t>Valor das empresas vencedoras por região no ano 2018</w:t>
      </w:r>
    </w:p>
    <w:p w14:paraId="5AE3A801" w14:textId="09BDBA90" w:rsidR="00186136" w:rsidRDefault="00186136" w:rsidP="00A267BF">
      <w:pPr>
        <w:tabs>
          <w:tab w:val="left" w:pos="8647"/>
        </w:tabs>
        <w:spacing w:after="160"/>
        <w:ind w:left="284" w:right="284"/>
        <w:contextualSpacing/>
        <w:rPr>
          <w:b/>
          <w:sz w:val="20"/>
        </w:rPr>
      </w:pPr>
      <w:r>
        <w:rPr>
          <w:noProof/>
          <w:lang w:eastAsia="pt-BR"/>
        </w:rPr>
        <w:drawing>
          <wp:inline distT="0" distB="0" distL="0" distR="0" wp14:anchorId="6D28D45E" wp14:editId="3AF3A5FB">
            <wp:extent cx="5227320" cy="2898476"/>
            <wp:effectExtent l="0" t="0" r="11430" b="1651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683CDB" w14:textId="176FA29F" w:rsidR="00186136" w:rsidRPr="00186136" w:rsidRDefault="00A267BF" w:rsidP="00186136">
      <w:pPr>
        <w:spacing w:after="160"/>
        <w:ind w:left="284" w:right="425"/>
        <w:contextualSpacing/>
        <w:rPr>
          <w:b/>
          <w:sz w:val="20"/>
        </w:rPr>
      </w:pPr>
      <w:r>
        <w:rPr>
          <w:sz w:val="20"/>
        </w:rPr>
        <w:t>Fonte: Dados da pesquisa (2021)</w:t>
      </w:r>
    </w:p>
    <w:p w14:paraId="73678909" w14:textId="24E3BC1B" w:rsidR="00991700" w:rsidRDefault="00991700" w:rsidP="00475F5D">
      <w:pPr>
        <w:spacing w:after="160" w:line="360" w:lineRule="auto"/>
        <w:ind w:right="141"/>
        <w:rPr>
          <w:sz w:val="20"/>
          <w:szCs w:val="20"/>
        </w:rPr>
      </w:pPr>
    </w:p>
    <w:p w14:paraId="0C61A2DC" w14:textId="62D96436" w:rsidR="00186136" w:rsidRDefault="00186136" w:rsidP="00186136">
      <w:pPr>
        <w:pStyle w:val="UnidaviTexto-Espao15"/>
      </w:pPr>
      <w:r>
        <w:t xml:space="preserve">Em se tratando de valores licitados </w:t>
      </w:r>
      <w:r w:rsidR="00654C6C">
        <w:t xml:space="preserve">de acordo com o Gráfico 12, </w:t>
      </w:r>
      <w:r>
        <w:t>no ano de 2018, 36% do valor total representado por R$ 5.180.784,07 foram das empresas vencedoras que</w:t>
      </w:r>
      <w:r w:rsidR="00654C6C">
        <w:t xml:space="preserve"> pertencem ao município de Taió, 37% foram para empresas de Fora do Alto Vale do Itajaí com R$ 5.300.488,73 e 27% para as empresas do Alto Vale do Itajaí representando R$ 3.966.290,46.</w:t>
      </w:r>
    </w:p>
    <w:p w14:paraId="18B18E04" w14:textId="21C9FF09" w:rsidR="00186136" w:rsidRDefault="00186136" w:rsidP="00186136">
      <w:pPr>
        <w:pStyle w:val="UnidaviTexto-Espao15"/>
      </w:pPr>
      <w:r>
        <w:t>A quantidade de participações vencedoras o ano de 2018 que foram representadas por empresas c</w:t>
      </w:r>
      <w:r w:rsidR="00715B94">
        <w:t>lassificadas como ME – Microe</w:t>
      </w:r>
      <w:r>
        <w:t>mpresa e EPP – Empresa de Pequeno Porte, e que usufruíram do benefício da Lei Complementar nº 123/06, onde empresas enquadradas nessas duas categorias possuem uma vantagem de 5% a 10% em relação às empresas de porte maior são apresentadas na Tabela 10.</w:t>
      </w:r>
    </w:p>
    <w:p w14:paraId="5D49B12B" w14:textId="77777777" w:rsidR="00475F5D" w:rsidRDefault="00475F5D" w:rsidP="00475F5D">
      <w:pPr>
        <w:pStyle w:val="UnidaviTexto-Espao15"/>
        <w:ind w:firstLine="0"/>
      </w:pPr>
    </w:p>
    <w:p w14:paraId="4FB4286E" w14:textId="77777777" w:rsidR="00186136" w:rsidRDefault="00186136" w:rsidP="00C8633B">
      <w:pPr>
        <w:pStyle w:val="UnidaviTexto-Espao15"/>
        <w:spacing w:line="240" w:lineRule="auto"/>
      </w:pPr>
    </w:p>
    <w:p w14:paraId="104CAA23" w14:textId="4D5CB1DE" w:rsidR="00396979" w:rsidRPr="00A267BF" w:rsidRDefault="00A267BF" w:rsidP="00A267BF">
      <w:pPr>
        <w:ind w:left="284"/>
        <w:rPr>
          <w:b/>
          <w:sz w:val="20"/>
          <w:szCs w:val="20"/>
        </w:rPr>
      </w:pPr>
      <w:r>
        <w:rPr>
          <w:b/>
          <w:sz w:val="20"/>
          <w:szCs w:val="20"/>
        </w:rPr>
        <w:t>Tabela 10 – Qtde</w:t>
      </w:r>
      <w:r w:rsidR="00991700" w:rsidRPr="00A267BF">
        <w:rPr>
          <w:b/>
          <w:sz w:val="20"/>
          <w:szCs w:val="20"/>
        </w:rPr>
        <w:t xml:space="preserve"> e valor das empresas enquadradas como </w:t>
      </w:r>
      <w:r w:rsidR="00AD0C0E" w:rsidRPr="00A267BF">
        <w:rPr>
          <w:b/>
          <w:sz w:val="20"/>
          <w:szCs w:val="20"/>
        </w:rPr>
        <w:t>ME/EPP participantes no ano 2018</w:t>
      </w:r>
    </w:p>
    <w:tbl>
      <w:tblPr>
        <w:tblW w:w="8220" w:type="dxa"/>
        <w:tblInd w:w="284" w:type="dxa"/>
        <w:tblCellMar>
          <w:left w:w="70" w:type="dxa"/>
          <w:right w:w="70" w:type="dxa"/>
        </w:tblCellMar>
        <w:tblLook w:val="04A0" w:firstRow="1" w:lastRow="0" w:firstColumn="1" w:lastColumn="0" w:noHBand="0" w:noVBand="1"/>
      </w:tblPr>
      <w:tblGrid>
        <w:gridCol w:w="1984"/>
        <w:gridCol w:w="1132"/>
        <w:gridCol w:w="607"/>
        <w:gridCol w:w="2514"/>
        <w:gridCol w:w="1276"/>
        <w:gridCol w:w="707"/>
      </w:tblGrid>
      <w:tr w:rsidR="00991700" w:rsidRPr="00991700" w14:paraId="44FD52C6" w14:textId="77777777" w:rsidTr="00A267BF">
        <w:trPr>
          <w:trHeight w:val="300"/>
        </w:trPr>
        <w:tc>
          <w:tcPr>
            <w:tcW w:w="1984" w:type="dxa"/>
            <w:tcBorders>
              <w:top w:val="single" w:sz="4" w:space="0" w:color="auto"/>
              <w:left w:val="nil"/>
              <w:bottom w:val="single" w:sz="4" w:space="0" w:color="auto"/>
              <w:right w:val="nil"/>
            </w:tcBorders>
            <w:shd w:val="clear" w:color="000000" w:fill="FFFFFF"/>
            <w:noWrap/>
            <w:vAlign w:val="bottom"/>
            <w:hideMark/>
          </w:tcPr>
          <w:p w14:paraId="19EB530D" w14:textId="77777777" w:rsidR="00991700" w:rsidRPr="00991700" w:rsidRDefault="00991700" w:rsidP="00D14FEE">
            <w:pPr>
              <w:ind w:left="-69"/>
              <w:rPr>
                <w:rFonts w:eastAsia="Times New Roman"/>
                <w:b/>
                <w:bCs/>
                <w:color w:val="000000"/>
                <w:sz w:val="20"/>
                <w:szCs w:val="20"/>
                <w:lang w:eastAsia="pt-BR"/>
              </w:rPr>
            </w:pPr>
            <w:r w:rsidRPr="00991700">
              <w:rPr>
                <w:rFonts w:eastAsia="Times New Roman"/>
                <w:b/>
                <w:bCs/>
                <w:color w:val="000000"/>
                <w:sz w:val="20"/>
                <w:szCs w:val="20"/>
                <w:lang w:eastAsia="pt-BR"/>
              </w:rPr>
              <w:t>Vencedores ME/EPP</w:t>
            </w:r>
          </w:p>
        </w:tc>
        <w:tc>
          <w:tcPr>
            <w:tcW w:w="1132" w:type="dxa"/>
            <w:tcBorders>
              <w:top w:val="single" w:sz="4" w:space="0" w:color="auto"/>
              <w:left w:val="nil"/>
              <w:bottom w:val="single" w:sz="4" w:space="0" w:color="auto"/>
              <w:right w:val="nil"/>
            </w:tcBorders>
            <w:shd w:val="clear" w:color="000000" w:fill="FFFFFF"/>
            <w:noWrap/>
            <w:vAlign w:val="bottom"/>
            <w:hideMark/>
          </w:tcPr>
          <w:p w14:paraId="73DDD5E3" w14:textId="77777777" w:rsidR="00991700" w:rsidRPr="00991700" w:rsidRDefault="00991700" w:rsidP="00991700">
            <w:pPr>
              <w:jc w:val="center"/>
              <w:rPr>
                <w:rFonts w:eastAsia="Times New Roman"/>
                <w:b/>
                <w:bCs/>
                <w:color w:val="000000"/>
                <w:sz w:val="20"/>
                <w:szCs w:val="20"/>
                <w:lang w:eastAsia="pt-BR"/>
              </w:rPr>
            </w:pPr>
            <w:r w:rsidRPr="00991700">
              <w:rPr>
                <w:rFonts w:eastAsia="Times New Roman"/>
                <w:b/>
                <w:bCs/>
                <w:color w:val="000000"/>
                <w:sz w:val="20"/>
                <w:szCs w:val="20"/>
                <w:lang w:eastAsia="pt-BR"/>
              </w:rPr>
              <w:t>Nº de empresas</w:t>
            </w:r>
          </w:p>
        </w:tc>
        <w:tc>
          <w:tcPr>
            <w:tcW w:w="607" w:type="dxa"/>
            <w:tcBorders>
              <w:top w:val="single" w:sz="4" w:space="0" w:color="auto"/>
              <w:left w:val="nil"/>
              <w:bottom w:val="single" w:sz="4" w:space="0" w:color="auto"/>
              <w:right w:val="nil"/>
            </w:tcBorders>
            <w:shd w:val="clear" w:color="000000" w:fill="FFFFFF"/>
            <w:noWrap/>
            <w:vAlign w:val="bottom"/>
            <w:hideMark/>
          </w:tcPr>
          <w:p w14:paraId="20636033" w14:textId="77777777" w:rsidR="00991700" w:rsidRPr="00991700" w:rsidRDefault="00991700" w:rsidP="00991700">
            <w:pPr>
              <w:jc w:val="center"/>
              <w:rPr>
                <w:rFonts w:eastAsia="Times New Roman"/>
                <w:b/>
                <w:bCs/>
                <w:color w:val="000000"/>
                <w:sz w:val="20"/>
                <w:szCs w:val="20"/>
                <w:lang w:eastAsia="pt-BR"/>
              </w:rPr>
            </w:pPr>
            <w:r w:rsidRPr="00991700">
              <w:rPr>
                <w:rFonts w:eastAsia="Times New Roman"/>
                <w:b/>
                <w:bCs/>
                <w:color w:val="000000"/>
                <w:sz w:val="20"/>
                <w:szCs w:val="20"/>
                <w:lang w:eastAsia="pt-BR"/>
              </w:rPr>
              <w:t>%</w:t>
            </w:r>
          </w:p>
        </w:tc>
        <w:tc>
          <w:tcPr>
            <w:tcW w:w="2514" w:type="dxa"/>
            <w:tcBorders>
              <w:top w:val="single" w:sz="4" w:space="0" w:color="auto"/>
              <w:left w:val="nil"/>
              <w:bottom w:val="single" w:sz="4" w:space="0" w:color="auto"/>
              <w:right w:val="nil"/>
            </w:tcBorders>
            <w:shd w:val="clear" w:color="000000" w:fill="FFFFFF"/>
            <w:noWrap/>
            <w:vAlign w:val="bottom"/>
            <w:hideMark/>
          </w:tcPr>
          <w:p w14:paraId="1F6E4C63" w14:textId="77777777" w:rsidR="00991700" w:rsidRPr="00991700" w:rsidRDefault="00991700" w:rsidP="00991700">
            <w:pPr>
              <w:rPr>
                <w:rFonts w:eastAsia="Times New Roman"/>
                <w:b/>
                <w:bCs/>
                <w:color w:val="000000"/>
                <w:sz w:val="20"/>
                <w:szCs w:val="20"/>
                <w:lang w:eastAsia="pt-BR"/>
              </w:rPr>
            </w:pPr>
            <w:r w:rsidRPr="00991700">
              <w:rPr>
                <w:rFonts w:eastAsia="Times New Roman"/>
                <w:b/>
                <w:bCs/>
                <w:color w:val="000000"/>
                <w:sz w:val="20"/>
                <w:szCs w:val="20"/>
                <w:lang w:eastAsia="pt-BR"/>
              </w:rPr>
              <w:t>Vencedores ME/EPP</w:t>
            </w:r>
          </w:p>
        </w:tc>
        <w:tc>
          <w:tcPr>
            <w:tcW w:w="1276" w:type="dxa"/>
            <w:tcBorders>
              <w:top w:val="single" w:sz="4" w:space="0" w:color="auto"/>
              <w:left w:val="nil"/>
              <w:bottom w:val="single" w:sz="4" w:space="0" w:color="auto"/>
              <w:right w:val="nil"/>
            </w:tcBorders>
            <w:shd w:val="clear" w:color="000000" w:fill="FFFFFF"/>
            <w:noWrap/>
            <w:vAlign w:val="bottom"/>
            <w:hideMark/>
          </w:tcPr>
          <w:p w14:paraId="65752CDB" w14:textId="77777777" w:rsidR="00991700" w:rsidRPr="00991700" w:rsidRDefault="00991700" w:rsidP="00991700">
            <w:pPr>
              <w:jc w:val="center"/>
              <w:rPr>
                <w:rFonts w:eastAsia="Times New Roman"/>
                <w:b/>
                <w:bCs/>
                <w:color w:val="000000"/>
                <w:sz w:val="20"/>
                <w:szCs w:val="20"/>
                <w:lang w:eastAsia="pt-BR"/>
              </w:rPr>
            </w:pPr>
            <w:r w:rsidRPr="00991700">
              <w:rPr>
                <w:rFonts w:eastAsia="Times New Roman"/>
                <w:b/>
                <w:bCs/>
                <w:color w:val="000000"/>
                <w:sz w:val="20"/>
                <w:szCs w:val="20"/>
                <w:lang w:eastAsia="pt-BR"/>
              </w:rPr>
              <w:t>Valor</w:t>
            </w:r>
          </w:p>
        </w:tc>
        <w:tc>
          <w:tcPr>
            <w:tcW w:w="707" w:type="dxa"/>
            <w:tcBorders>
              <w:top w:val="single" w:sz="4" w:space="0" w:color="auto"/>
              <w:left w:val="nil"/>
              <w:bottom w:val="single" w:sz="4" w:space="0" w:color="auto"/>
              <w:right w:val="nil"/>
            </w:tcBorders>
            <w:shd w:val="clear" w:color="auto" w:fill="auto"/>
            <w:noWrap/>
            <w:vAlign w:val="bottom"/>
            <w:hideMark/>
          </w:tcPr>
          <w:p w14:paraId="5B46C4EB" w14:textId="77777777" w:rsidR="00991700" w:rsidRPr="00991700" w:rsidRDefault="00991700" w:rsidP="00991700">
            <w:pPr>
              <w:jc w:val="center"/>
              <w:rPr>
                <w:rFonts w:eastAsia="Times New Roman"/>
                <w:b/>
                <w:bCs/>
                <w:color w:val="000000"/>
                <w:sz w:val="20"/>
                <w:szCs w:val="20"/>
                <w:lang w:eastAsia="pt-BR"/>
              </w:rPr>
            </w:pPr>
            <w:r w:rsidRPr="00991700">
              <w:rPr>
                <w:rFonts w:eastAsia="Times New Roman"/>
                <w:b/>
                <w:bCs/>
                <w:color w:val="000000"/>
                <w:sz w:val="20"/>
                <w:szCs w:val="20"/>
                <w:lang w:eastAsia="pt-BR"/>
              </w:rPr>
              <w:t>%</w:t>
            </w:r>
          </w:p>
        </w:tc>
      </w:tr>
      <w:tr w:rsidR="00991700" w:rsidRPr="00991700" w14:paraId="7E27C7EA" w14:textId="77777777" w:rsidTr="00A267BF">
        <w:trPr>
          <w:trHeight w:val="300"/>
        </w:trPr>
        <w:tc>
          <w:tcPr>
            <w:tcW w:w="1984" w:type="dxa"/>
            <w:tcBorders>
              <w:top w:val="nil"/>
              <w:left w:val="nil"/>
              <w:bottom w:val="single" w:sz="4" w:space="0" w:color="auto"/>
              <w:right w:val="nil"/>
            </w:tcBorders>
            <w:shd w:val="clear" w:color="000000" w:fill="FFFFFF"/>
            <w:noWrap/>
            <w:vAlign w:val="bottom"/>
            <w:hideMark/>
          </w:tcPr>
          <w:p w14:paraId="455D42E2" w14:textId="77777777" w:rsidR="00991700" w:rsidRPr="00991700" w:rsidRDefault="00991700" w:rsidP="00D14FEE">
            <w:pPr>
              <w:ind w:left="-69"/>
              <w:rPr>
                <w:rFonts w:eastAsia="Times New Roman"/>
                <w:color w:val="000000"/>
                <w:sz w:val="20"/>
                <w:szCs w:val="20"/>
                <w:lang w:eastAsia="pt-BR"/>
              </w:rPr>
            </w:pPr>
            <w:r w:rsidRPr="00991700">
              <w:rPr>
                <w:rFonts w:eastAsia="Times New Roman"/>
                <w:color w:val="000000"/>
                <w:sz w:val="20"/>
                <w:szCs w:val="20"/>
                <w:lang w:eastAsia="pt-BR"/>
              </w:rPr>
              <w:t>Ano 2018</w:t>
            </w:r>
          </w:p>
        </w:tc>
        <w:tc>
          <w:tcPr>
            <w:tcW w:w="1132" w:type="dxa"/>
            <w:tcBorders>
              <w:top w:val="nil"/>
              <w:left w:val="nil"/>
              <w:bottom w:val="single" w:sz="4" w:space="0" w:color="auto"/>
              <w:right w:val="nil"/>
            </w:tcBorders>
            <w:shd w:val="clear" w:color="000000" w:fill="FFFFFF"/>
            <w:noWrap/>
            <w:vAlign w:val="bottom"/>
            <w:hideMark/>
          </w:tcPr>
          <w:p w14:paraId="25DBA07C" w14:textId="77777777" w:rsidR="00991700" w:rsidRPr="00991700" w:rsidRDefault="00991700" w:rsidP="00991700">
            <w:pPr>
              <w:jc w:val="center"/>
              <w:rPr>
                <w:rFonts w:eastAsia="Times New Roman"/>
                <w:color w:val="000000"/>
                <w:sz w:val="20"/>
                <w:szCs w:val="20"/>
                <w:lang w:eastAsia="pt-BR"/>
              </w:rPr>
            </w:pPr>
            <w:r w:rsidRPr="00991700">
              <w:rPr>
                <w:rFonts w:eastAsia="Times New Roman"/>
                <w:color w:val="000000"/>
                <w:sz w:val="20"/>
                <w:szCs w:val="20"/>
                <w:lang w:eastAsia="pt-BR"/>
              </w:rPr>
              <w:t>131</w:t>
            </w:r>
          </w:p>
        </w:tc>
        <w:tc>
          <w:tcPr>
            <w:tcW w:w="607" w:type="dxa"/>
            <w:tcBorders>
              <w:top w:val="nil"/>
              <w:left w:val="nil"/>
              <w:bottom w:val="single" w:sz="4" w:space="0" w:color="auto"/>
              <w:right w:val="nil"/>
            </w:tcBorders>
            <w:shd w:val="clear" w:color="000000" w:fill="FFFFFF"/>
            <w:noWrap/>
            <w:vAlign w:val="bottom"/>
            <w:hideMark/>
          </w:tcPr>
          <w:p w14:paraId="75A87A5A" w14:textId="77777777" w:rsidR="00991700" w:rsidRPr="00991700" w:rsidRDefault="00991700" w:rsidP="00991700">
            <w:pPr>
              <w:jc w:val="center"/>
              <w:rPr>
                <w:rFonts w:eastAsia="Times New Roman"/>
                <w:color w:val="000000"/>
                <w:sz w:val="20"/>
                <w:szCs w:val="20"/>
                <w:lang w:eastAsia="pt-BR"/>
              </w:rPr>
            </w:pPr>
            <w:r w:rsidRPr="00991700">
              <w:rPr>
                <w:rFonts w:eastAsia="Times New Roman"/>
                <w:color w:val="000000"/>
                <w:sz w:val="20"/>
                <w:szCs w:val="20"/>
                <w:lang w:eastAsia="pt-BR"/>
              </w:rPr>
              <w:t>100%</w:t>
            </w:r>
          </w:p>
        </w:tc>
        <w:tc>
          <w:tcPr>
            <w:tcW w:w="2514" w:type="dxa"/>
            <w:tcBorders>
              <w:top w:val="nil"/>
              <w:left w:val="nil"/>
              <w:bottom w:val="single" w:sz="4" w:space="0" w:color="auto"/>
              <w:right w:val="nil"/>
            </w:tcBorders>
            <w:shd w:val="clear" w:color="000000" w:fill="FFFFFF"/>
            <w:noWrap/>
            <w:vAlign w:val="bottom"/>
            <w:hideMark/>
          </w:tcPr>
          <w:p w14:paraId="5B6ACF92" w14:textId="6114708F" w:rsidR="00991700" w:rsidRPr="00991700" w:rsidRDefault="00AD0C0E" w:rsidP="00991700">
            <w:pPr>
              <w:rPr>
                <w:rFonts w:eastAsia="Times New Roman"/>
                <w:color w:val="000000"/>
                <w:sz w:val="20"/>
                <w:szCs w:val="20"/>
                <w:lang w:eastAsia="pt-BR"/>
              </w:rPr>
            </w:pPr>
            <w:r>
              <w:rPr>
                <w:rFonts w:eastAsia="Times New Roman"/>
                <w:color w:val="000000"/>
                <w:sz w:val="20"/>
                <w:szCs w:val="20"/>
                <w:lang w:eastAsia="pt-BR"/>
              </w:rPr>
              <w:t>Ano 2018</w:t>
            </w:r>
          </w:p>
        </w:tc>
        <w:tc>
          <w:tcPr>
            <w:tcW w:w="1276" w:type="dxa"/>
            <w:tcBorders>
              <w:top w:val="nil"/>
              <w:left w:val="nil"/>
              <w:bottom w:val="single" w:sz="4" w:space="0" w:color="auto"/>
              <w:right w:val="nil"/>
            </w:tcBorders>
            <w:shd w:val="clear" w:color="000000" w:fill="FFFFFF"/>
            <w:noWrap/>
            <w:vAlign w:val="bottom"/>
            <w:hideMark/>
          </w:tcPr>
          <w:p w14:paraId="2BA9FE10" w14:textId="77777777" w:rsidR="00991700" w:rsidRPr="00991700" w:rsidRDefault="00991700" w:rsidP="00991700">
            <w:pPr>
              <w:jc w:val="center"/>
              <w:rPr>
                <w:rFonts w:eastAsia="Times New Roman"/>
                <w:color w:val="000000"/>
                <w:sz w:val="20"/>
                <w:szCs w:val="20"/>
                <w:lang w:eastAsia="pt-BR"/>
              </w:rPr>
            </w:pPr>
            <w:r w:rsidRPr="00991700">
              <w:rPr>
                <w:rFonts w:eastAsia="Times New Roman"/>
                <w:color w:val="000000"/>
                <w:sz w:val="20"/>
                <w:szCs w:val="20"/>
                <w:lang w:eastAsia="pt-BR"/>
              </w:rPr>
              <w:t>7.017.283,34</w:t>
            </w:r>
          </w:p>
        </w:tc>
        <w:tc>
          <w:tcPr>
            <w:tcW w:w="707" w:type="dxa"/>
            <w:tcBorders>
              <w:top w:val="nil"/>
              <w:left w:val="nil"/>
              <w:bottom w:val="single" w:sz="4" w:space="0" w:color="auto"/>
              <w:right w:val="nil"/>
            </w:tcBorders>
            <w:shd w:val="clear" w:color="auto" w:fill="auto"/>
            <w:noWrap/>
            <w:vAlign w:val="bottom"/>
            <w:hideMark/>
          </w:tcPr>
          <w:p w14:paraId="3384867A" w14:textId="77777777" w:rsidR="00991700" w:rsidRPr="00991700" w:rsidRDefault="00991700" w:rsidP="00991700">
            <w:pPr>
              <w:jc w:val="center"/>
              <w:rPr>
                <w:rFonts w:eastAsia="Times New Roman"/>
                <w:color w:val="000000"/>
                <w:sz w:val="20"/>
                <w:szCs w:val="20"/>
                <w:lang w:eastAsia="pt-BR"/>
              </w:rPr>
            </w:pPr>
            <w:r w:rsidRPr="00991700">
              <w:rPr>
                <w:rFonts w:eastAsia="Times New Roman"/>
                <w:color w:val="000000"/>
                <w:sz w:val="20"/>
                <w:szCs w:val="20"/>
                <w:lang w:eastAsia="pt-BR"/>
              </w:rPr>
              <w:t>100%</w:t>
            </w:r>
          </w:p>
        </w:tc>
      </w:tr>
      <w:tr w:rsidR="00991700" w:rsidRPr="00991700" w14:paraId="25D6B748" w14:textId="77777777" w:rsidTr="00A267BF">
        <w:trPr>
          <w:trHeight w:val="300"/>
        </w:trPr>
        <w:tc>
          <w:tcPr>
            <w:tcW w:w="1984" w:type="dxa"/>
            <w:tcBorders>
              <w:top w:val="nil"/>
              <w:left w:val="nil"/>
              <w:bottom w:val="single" w:sz="4" w:space="0" w:color="auto"/>
              <w:right w:val="nil"/>
            </w:tcBorders>
            <w:shd w:val="clear" w:color="auto" w:fill="auto"/>
            <w:noWrap/>
            <w:vAlign w:val="bottom"/>
            <w:hideMark/>
          </w:tcPr>
          <w:p w14:paraId="572D54CB" w14:textId="77777777" w:rsidR="00991700" w:rsidRPr="00991700" w:rsidRDefault="00991700" w:rsidP="00D14FEE">
            <w:pPr>
              <w:ind w:left="-69"/>
              <w:rPr>
                <w:rFonts w:eastAsia="Times New Roman"/>
                <w:color w:val="000000"/>
                <w:sz w:val="20"/>
                <w:szCs w:val="20"/>
                <w:lang w:eastAsia="pt-BR"/>
              </w:rPr>
            </w:pPr>
            <w:r w:rsidRPr="00991700">
              <w:rPr>
                <w:rFonts w:eastAsia="Times New Roman"/>
                <w:color w:val="000000"/>
                <w:sz w:val="20"/>
                <w:szCs w:val="20"/>
                <w:lang w:eastAsia="pt-BR"/>
              </w:rPr>
              <w:t>Empresas ME de Taió</w:t>
            </w:r>
          </w:p>
        </w:tc>
        <w:tc>
          <w:tcPr>
            <w:tcW w:w="1132" w:type="dxa"/>
            <w:tcBorders>
              <w:top w:val="nil"/>
              <w:left w:val="nil"/>
              <w:bottom w:val="single" w:sz="4" w:space="0" w:color="auto"/>
              <w:right w:val="nil"/>
            </w:tcBorders>
            <w:shd w:val="clear" w:color="auto" w:fill="auto"/>
            <w:noWrap/>
            <w:vAlign w:val="bottom"/>
            <w:hideMark/>
          </w:tcPr>
          <w:p w14:paraId="011AC219" w14:textId="77777777" w:rsidR="00991700" w:rsidRPr="00991700" w:rsidRDefault="00991700" w:rsidP="00991700">
            <w:pPr>
              <w:jc w:val="center"/>
              <w:rPr>
                <w:rFonts w:eastAsia="Times New Roman"/>
                <w:color w:val="000000"/>
                <w:sz w:val="20"/>
                <w:szCs w:val="20"/>
                <w:lang w:eastAsia="pt-BR"/>
              </w:rPr>
            </w:pPr>
            <w:r w:rsidRPr="00991700">
              <w:rPr>
                <w:rFonts w:eastAsia="Times New Roman"/>
                <w:color w:val="000000"/>
                <w:sz w:val="20"/>
                <w:szCs w:val="20"/>
                <w:lang w:eastAsia="pt-BR"/>
              </w:rPr>
              <w:t>58</w:t>
            </w:r>
          </w:p>
        </w:tc>
        <w:tc>
          <w:tcPr>
            <w:tcW w:w="607" w:type="dxa"/>
            <w:tcBorders>
              <w:top w:val="nil"/>
              <w:left w:val="nil"/>
              <w:bottom w:val="single" w:sz="4" w:space="0" w:color="auto"/>
              <w:right w:val="nil"/>
            </w:tcBorders>
            <w:shd w:val="clear" w:color="auto" w:fill="auto"/>
            <w:noWrap/>
            <w:vAlign w:val="bottom"/>
            <w:hideMark/>
          </w:tcPr>
          <w:p w14:paraId="7A94DE18" w14:textId="77777777" w:rsidR="00991700" w:rsidRPr="00991700" w:rsidRDefault="00991700" w:rsidP="00991700">
            <w:pPr>
              <w:jc w:val="center"/>
              <w:rPr>
                <w:rFonts w:eastAsia="Times New Roman"/>
                <w:color w:val="000000"/>
                <w:sz w:val="20"/>
                <w:szCs w:val="20"/>
                <w:lang w:eastAsia="pt-BR"/>
              </w:rPr>
            </w:pPr>
            <w:r w:rsidRPr="00991700">
              <w:rPr>
                <w:rFonts w:eastAsia="Times New Roman"/>
                <w:color w:val="000000"/>
                <w:sz w:val="20"/>
                <w:szCs w:val="20"/>
                <w:lang w:eastAsia="pt-BR"/>
              </w:rPr>
              <w:t>44%</w:t>
            </w:r>
          </w:p>
        </w:tc>
        <w:tc>
          <w:tcPr>
            <w:tcW w:w="2514" w:type="dxa"/>
            <w:tcBorders>
              <w:top w:val="nil"/>
              <w:left w:val="nil"/>
              <w:bottom w:val="single" w:sz="4" w:space="0" w:color="auto"/>
              <w:right w:val="nil"/>
            </w:tcBorders>
            <w:shd w:val="clear" w:color="000000" w:fill="FFFFFF"/>
            <w:noWrap/>
            <w:vAlign w:val="bottom"/>
            <w:hideMark/>
          </w:tcPr>
          <w:p w14:paraId="3C193495" w14:textId="77777777" w:rsidR="00991700" w:rsidRPr="00991700" w:rsidRDefault="00991700" w:rsidP="00991700">
            <w:pPr>
              <w:rPr>
                <w:rFonts w:eastAsia="Times New Roman"/>
                <w:color w:val="000000"/>
                <w:sz w:val="20"/>
                <w:szCs w:val="20"/>
                <w:lang w:eastAsia="pt-BR"/>
              </w:rPr>
            </w:pPr>
            <w:r w:rsidRPr="00991700">
              <w:rPr>
                <w:rFonts w:eastAsia="Times New Roman"/>
                <w:color w:val="000000"/>
                <w:sz w:val="20"/>
                <w:szCs w:val="20"/>
                <w:lang w:eastAsia="pt-BR"/>
              </w:rPr>
              <w:t>Valor Empresas de Taió</w:t>
            </w:r>
          </w:p>
        </w:tc>
        <w:tc>
          <w:tcPr>
            <w:tcW w:w="1276" w:type="dxa"/>
            <w:tcBorders>
              <w:top w:val="nil"/>
              <w:left w:val="nil"/>
              <w:bottom w:val="single" w:sz="4" w:space="0" w:color="auto"/>
              <w:right w:val="nil"/>
            </w:tcBorders>
            <w:shd w:val="clear" w:color="000000" w:fill="FFFFFF"/>
            <w:noWrap/>
            <w:vAlign w:val="bottom"/>
            <w:hideMark/>
          </w:tcPr>
          <w:p w14:paraId="2E0312DE" w14:textId="77777777" w:rsidR="00991700" w:rsidRPr="00991700" w:rsidRDefault="00991700" w:rsidP="00991700">
            <w:pPr>
              <w:jc w:val="center"/>
              <w:rPr>
                <w:rFonts w:eastAsia="Times New Roman"/>
                <w:color w:val="000000"/>
                <w:sz w:val="20"/>
                <w:szCs w:val="20"/>
                <w:lang w:eastAsia="pt-BR"/>
              </w:rPr>
            </w:pPr>
            <w:r w:rsidRPr="00991700">
              <w:rPr>
                <w:rFonts w:eastAsia="Times New Roman"/>
                <w:color w:val="000000"/>
                <w:sz w:val="20"/>
                <w:szCs w:val="20"/>
                <w:lang w:eastAsia="pt-BR"/>
              </w:rPr>
              <w:t>3.328.015,32</w:t>
            </w:r>
          </w:p>
        </w:tc>
        <w:tc>
          <w:tcPr>
            <w:tcW w:w="707" w:type="dxa"/>
            <w:tcBorders>
              <w:top w:val="nil"/>
              <w:left w:val="nil"/>
              <w:bottom w:val="single" w:sz="4" w:space="0" w:color="auto"/>
              <w:right w:val="nil"/>
            </w:tcBorders>
            <w:shd w:val="clear" w:color="auto" w:fill="auto"/>
            <w:noWrap/>
            <w:vAlign w:val="bottom"/>
            <w:hideMark/>
          </w:tcPr>
          <w:p w14:paraId="46F7A737" w14:textId="77777777" w:rsidR="00991700" w:rsidRPr="00991700" w:rsidRDefault="00991700" w:rsidP="00991700">
            <w:pPr>
              <w:jc w:val="center"/>
              <w:rPr>
                <w:rFonts w:eastAsia="Times New Roman"/>
                <w:color w:val="000000"/>
                <w:sz w:val="20"/>
                <w:szCs w:val="20"/>
                <w:lang w:eastAsia="pt-BR"/>
              </w:rPr>
            </w:pPr>
            <w:r w:rsidRPr="00991700">
              <w:rPr>
                <w:rFonts w:eastAsia="Times New Roman"/>
                <w:color w:val="000000"/>
                <w:sz w:val="20"/>
                <w:szCs w:val="20"/>
                <w:lang w:eastAsia="pt-BR"/>
              </w:rPr>
              <w:t>47%</w:t>
            </w:r>
          </w:p>
        </w:tc>
      </w:tr>
      <w:tr w:rsidR="00991700" w:rsidRPr="00991700" w14:paraId="1E3EF07A" w14:textId="77777777" w:rsidTr="00A267BF">
        <w:trPr>
          <w:trHeight w:val="300"/>
        </w:trPr>
        <w:tc>
          <w:tcPr>
            <w:tcW w:w="1984" w:type="dxa"/>
            <w:tcBorders>
              <w:top w:val="nil"/>
              <w:left w:val="nil"/>
              <w:bottom w:val="single" w:sz="4" w:space="0" w:color="auto"/>
              <w:right w:val="nil"/>
            </w:tcBorders>
            <w:shd w:val="clear" w:color="auto" w:fill="auto"/>
            <w:noWrap/>
            <w:vAlign w:val="bottom"/>
            <w:hideMark/>
          </w:tcPr>
          <w:p w14:paraId="394217E1" w14:textId="77777777" w:rsidR="00991700" w:rsidRPr="00991700" w:rsidRDefault="00991700" w:rsidP="00D14FEE">
            <w:pPr>
              <w:ind w:left="-69"/>
              <w:rPr>
                <w:rFonts w:eastAsia="Times New Roman"/>
                <w:color w:val="000000"/>
                <w:sz w:val="20"/>
                <w:szCs w:val="20"/>
                <w:lang w:eastAsia="pt-BR"/>
              </w:rPr>
            </w:pPr>
            <w:r w:rsidRPr="00991700">
              <w:rPr>
                <w:rFonts w:eastAsia="Times New Roman"/>
                <w:color w:val="000000"/>
                <w:sz w:val="20"/>
                <w:szCs w:val="20"/>
                <w:lang w:eastAsia="pt-BR"/>
              </w:rPr>
              <w:t>Empresas ME do Alto Vale</w:t>
            </w:r>
          </w:p>
        </w:tc>
        <w:tc>
          <w:tcPr>
            <w:tcW w:w="1132" w:type="dxa"/>
            <w:tcBorders>
              <w:top w:val="nil"/>
              <w:left w:val="nil"/>
              <w:bottom w:val="single" w:sz="4" w:space="0" w:color="auto"/>
              <w:right w:val="nil"/>
            </w:tcBorders>
            <w:shd w:val="clear" w:color="auto" w:fill="auto"/>
            <w:noWrap/>
            <w:vAlign w:val="bottom"/>
            <w:hideMark/>
          </w:tcPr>
          <w:p w14:paraId="379ADA98" w14:textId="77777777" w:rsidR="00991700" w:rsidRPr="00991700" w:rsidRDefault="00991700" w:rsidP="00991700">
            <w:pPr>
              <w:jc w:val="center"/>
              <w:rPr>
                <w:rFonts w:eastAsia="Times New Roman"/>
                <w:color w:val="000000"/>
                <w:sz w:val="20"/>
                <w:szCs w:val="20"/>
                <w:lang w:eastAsia="pt-BR"/>
              </w:rPr>
            </w:pPr>
            <w:r w:rsidRPr="00991700">
              <w:rPr>
                <w:rFonts w:eastAsia="Times New Roman"/>
                <w:color w:val="000000"/>
                <w:sz w:val="20"/>
                <w:szCs w:val="20"/>
                <w:lang w:eastAsia="pt-BR"/>
              </w:rPr>
              <w:t>26</w:t>
            </w:r>
          </w:p>
        </w:tc>
        <w:tc>
          <w:tcPr>
            <w:tcW w:w="607" w:type="dxa"/>
            <w:tcBorders>
              <w:top w:val="nil"/>
              <w:left w:val="nil"/>
              <w:bottom w:val="single" w:sz="4" w:space="0" w:color="auto"/>
              <w:right w:val="nil"/>
            </w:tcBorders>
            <w:shd w:val="clear" w:color="auto" w:fill="auto"/>
            <w:noWrap/>
            <w:vAlign w:val="bottom"/>
            <w:hideMark/>
          </w:tcPr>
          <w:p w14:paraId="4AC0DA7A" w14:textId="77777777" w:rsidR="00991700" w:rsidRPr="00991700" w:rsidRDefault="00991700" w:rsidP="00991700">
            <w:pPr>
              <w:jc w:val="center"/>
              <w:rPr>
                <w:rFonts w:eastAsia="Times New Roman"/>
                <w:color w:val="000000"/>
                <w:sz w:val="20"/>
                <w:szCs w:val="20"/>
                <w:lang w:eastAsia="pt-BR"/>
              </w:rPr>
            </w:pPr>
            <w:r w:rsidRPr="00991700">
              <w:rPr>
                <w:rFonts w:eastAsia="Times New Roman"/>
                <w:color w:val="000000"/>
                <w:sz w:val="20"/>
                <w:szCs w:val="20"/>
                <w:lang w:eastAsia="pt-BR"/>
              </w:rPr>
              <w:t>20%</w:t>
            </w:r>
          </w:p>
        </w:tc>
        <w:tc>
          <w:tcPr>
            <w:tcW w:w="2514" w:type="dxa"/>
            <w:tcBorders>
              <w:top w:val="nil"/>
              <w:left w:val="nil"/>
              <w:bottom w:val="single" w:sz="4" w:space="0" w:color="auto"/>
              <w:right w:val="nil"/>
            </w:tcBorders>
            <w:shd w:val="clear" w:color="000000" w:fill="FFFFFF"/>
            <w:noWrap/>
            <w:vAlign w:val="bottom"/>
            <w:hideMark/>
          </w:tcPr>
          <w:p w14:paraId="638A4B51" w14:textId="77777777" w:rsidR="00991700" w:rsidRPr="00991700" w:rsidRDefault="00991700" w:rsidP="00991700">
            <w:pPr>
              <w:rPr>
                <w:rFonts w:eastAsia="Times New Roman"/>
                <w:color w:val="000000"/>
                <w:sz w:val="20"/>
                <w:szCs w:val="20"/>
                <w:lang w:eastAsia="pt-BR"/>
              </w:rPr>
            </w:pPr>
            <w:r w:rsidRPr="00991700">
              <w:rPr>
                <w:rFonts w:eastAsia="Times New Roman"/>
                <w:color w:val="000000"/>
                <w:sz w:val="20"/>
                <w:szCs w:val="20"/>
                <w:lang w:eastAsia="pt-BR"/>
              </w:rPr>
              <w:t>Valor Empresas do Alto Vale</w:t>
            </w:r>
          </w:p>
        </w:tc>
        <w:tc>
          <w:tcPr>
            <w:tcW w:w="1276" w:type="dxa"/>
            <w:tcBorders>
              <w:top w:val="nil"/>
              <w:left w:val="nil"/>
              <w:bottom w:val="single" w:sz="4" w:space="0" w:color="auto"/>
              <w:right w:val="nil"/>
            </w:tcBorders>
            <w:shd w:val="clear" w:color="000000" w:fill="FFFFFF"/>
            <w:noWrap/>
            <w:vAlign w:val="bottom"/>
            <w:hideMark/>
          </w:tcPr>
          <w:p w14:paraId="4B7849D4" w14:textId="77777777" w:rsidR="00991700" w:rsidRPr="00991700" w:rsidRDefault="00991700" w:rsidP="00991700">
            <w:pPr>
              <w:jc w:val="center"/>
              <w:rPr>
                <w:rFonts w:eastAsia="Times New Roman"/>
                <w:color w:val="000000"/>
                <w:sz w:val="20"/>
                <w:szCs w:val="20"/>
                <w:lang w:eastAsia="pt-BR"/>
              </w:rPr>
            </w:pPr>
            <w:r w:rsidRPr="00991700">
              <w:rPr>
                <w:rFonts w:eastAsia="Times New Roman"/>
                <w:color w:val="000000"/>
                <w:sz w:val="20"/>
                <w:szCs w:val="20"/>
                <w:lang w:eastAsia="pt-BR"/>
              </w:rPr>
              <w:t>1.900.686,10</w:t>
            </w:r>
          </w:p>
        </w:tc>
        <w:tc>
          <w:tcPr>
            <w:tcW w:w="707" w:type="dxa"/>
            <w:tcBorders>
              <w:top w:val="nil"/>
              <w:left w:val="nil"/>
              <w:bottom w:val="single" w:sz="4" w:space="0" w:color="auto"/>
              <w:right w:val="nil"/>
            </w:tcBorders>
            <w:shd w:val="clear" w:color="auto" w:fill="auto"/>
            <w:noWrap/>
            <w:vAlign w:val="bottom"/>
            <w:hideMark/>
          </w:tcPr>
          <w:p w14:paraId="60B516F7" w14:textId="77777777" w:rsidR="00991700" w:rsidRPr="00991700" w:rsidRDefault="00991700" w:rsidP="00991700">
            <w:pPr>
              <w:jc w:val="center"/>
              <w:rPr>
                <w:rFonts w:eastAsia="Times New Roman"/>
                <w:color w:val="000000"/>
                <w:sz w:val="20"/>
                <w:szCs w:val="20"/>
                <w:lang w:eastAsia="pt-BR"/>
              </w:rPr>
            </w:pPr>
            <w:r w:rsidRPr="00991700">
              <w:rPr>
                <w:rFonts w:eastAsia="Times New Roman"/>
                <w:color w:val="000000"/>
                <w:sz w:val="20"/>
                <w:szCs w:val="20"/>
                <w:lang w:eastAsia="pt-BR"/>
              </w:rPr>
              <w:t>27%</w:t>
            </w:r>
          </w:p>
        </w:tc>
      </w:tr>
      <w:tr w:rsidR="00991700" w:rsidRPr="00991700" w14:paraId="107C87B6" w14:textId="77777777" w:rsidTr="00A267BF">
        <w:trPr>
          <w:trHeight w:val="300"/>
        </w:trPr>
        <w:tc>
          <w:tcPr>
            <w:tcW w:w="1984" w:type="dxa"/>
            <w:tcBorders>
              <w:top w:val="nil"/>
              <w:left w:val="nil"/>
              <w:bottom w:val="single" w:sz="4" w:space="0" w:color="auto"/>
              <w:right w:val="nil"/>
            </w:tcBorders>
            <w:shd w:val="clear" w:color="auto" w:fill="auto"/>
            <w:noWrap/>
            <w:vAlign w:val="bottom"/>
            <w:hideMark/>
          </w:tcPr>
          <w:p w14:paraId="6F9C3DA0" w14:textId="77777777" w:rsidR="00991700" w:rsidRPr="00991700" w:rsidRDefault="00991700" w:rsidP="00D14FEE">
            <w:pPr>
              <w:ind w:left="-69"/>
              <w:rPr>
                <w:rFonts w:eastAsia="Times New Roman"/>
                <w:color w:val="000000"/>
                <w:sz w:val="20"/>
                <w:szCs w:val="20"/>
                <w:lang w:eastAsia="pt-BR"/>
              </w:rPr>
            </w:pPr>
            <w:r w:rsidRPr="00991700">
              <w:rPr>
                <w:rFonts w:eastAsia="Times New Roman"/>
                <w:color w:val="000000"/>
                <w:sz w:val="20"/>
                <w:szCs w:val="20"/>
                <w:lang w:eastAsia="pt-BR"/>
              </w:rPr>
              <w:t>Empresas ME de fora</w:t>
            </w:r>
          </w:p>
        </w:tc>
        <w:tc>
          <w:tcPr>
            <w:tcW w:w="1132" w:type="dxa"/>
            <w:tcBorders>
              <w:top w:val="nil"/>
              <w:left w:val="nil"/>
              <w:bottom w:val="single" w:sz="4" w:space="0" w:color="auto"/>
              <w:right w:val="nil"/>
            </w:tcBorders>
            <w:shd w:val="clear" w:color="auto" w:fill="auto"/>
            <w:noWrap/>
            <w:vAlign w:val="bottom"/>
            <w:hideMark/>
          </w:tcPr>
          <w:p w14:paraId="57F52400" w14:textId="77777777" w:rsidR="00991700" w:rsidRPr="00991700" w:rsidRDefault="00991700" w:rsidP="00991700">
            <w:pPr>
              <w:jc w:val="center"/>
              <w:rPr>
                <w:rFonts w:eastAsia="Times New Roman"/>
                <w:color w:val="000000"/>
                <w:sz w:val="20"/>
                <w:szCs w:val="20"/>
                <w:lang w:eastAsia="pt-BR"/>
              </w:rPr>
            </w:pPr>
            <w:r w:rsidRPr="00991700">
              <w:rPr>
                <w:rFonts w:eastAsia="Times New Roman"/>
                <w:color w:val="000000"/>
                <w:sz w:val="20"/>
                <w:szCs w:val="20"/>
                <w:lang w:eastAsia="pt-BR"/>
              </w:rPr>
              <w:t>47</w:t>
            </w:r>
          </w:p>
        </w:tc>
        <w:tc>
          <w:tcPr>
            <w:tcW w:w="607" w:type="dxa"/>
            <w:tcBorders>
              <w:top w:val="nil"/>
              <w:left w:val="nil"/>
              <w:bottom w:val="single" w:sz="4" w:space="0" w:color="auto"/>
              <w:right w:val="nil"/>
            </w:tcBorders>
            <w:shd w:val="clear" w:color="auto" w:fill="auto"/>
            <w:noWrap/>
            <w:vAlign w:val="bottom"/>
            <w:hideMark/>
          </w:tcPr>
          <w:p w14:paraId="7272FE05" w14:textId="77777777" w:rsidR="00991700" w:rsidRPr="00991700" w:rsidRDefault="00991700" w:rsidP="00991700">
            <w:pPr>
              <w:jc w:val="center"/>
              <w:rPr>
                <w:rFonts w:eastAsia="Times New Roman"/>
                <w:color w:val="000000"/>
                <w:sz w:val="20"/>
                <w:szCs w:val="20"/>
                <w:lang w:eastAsia="pt-BR"/>
              </w:rPr>
            </w:pPr>
            <w:r w:rsidRPr="00991700">
              <w:rPr>
                <w:rFonts w:eastAsia="Times New Roman"/>
                <w:color w:val="000000"/>
                <w:sz w:val="20"/>
                <w:szCs w:val="20"/>
                <w:lang w:eastAsia="pt-BR"/>
              </w:rPr>
              <w:t>36%</w:t>
            </w:r>
          </w:p>
        </w:tc>
        <w:tc>
          <w:tcPr>
            <w:tcW w:w="2514" w:type="dxa"/>
            <w:tcBorders>
              <w:top w:val="nil"/>
              <w:left w:val="nil"/>
              <w:bottom w:val="single" w:sz="4" w:space="0" w:color="auto"/>
              <w:right w:val="nil"/>
            </w:tcBorders>
            <w:shd w:val="clear" w:color="000000" w:fill="FFFFFF"/>
            <w:noWrap/>
            <w:vAlign w:val="bottom"/>
            <w:hideMark/>
          </w:tcPr>
          <w:p w14:paraId="408806D8" w14:textId="77777777" w:rsidR="00991700" w:rsidRPr="00991700" w:rsidRDefault="00991700" w:rsidP="00991700">
            <w:pPr>
              <w:rPr>
                <w:rFonts w:eastAsia="Times New Roman"/>
                <w:color w:val="000000"/>
                <w:sz w:val="20"/>
                <w:szCs w:val="20"/>
                <w:lang w:eastAsia="pt-BR"/>
              </w:rPr>
            </w:pPr>
            <w:r w:rsidRPr="00991700">
              <w:rPr>
                <w:rFonts w:eastAsia="Times New Roman"/>
                <w:color w:val="000000"/>
                <w:sz w:val="20"/>
                <w:szCs w:val="20"/>
                <w:lang w:eastAsia="pt-BR"/>
              </w:rPr>
              <w:t>Valor Empresas de Fora</w:t>
            </w:r>
          </w:p>
        </w:tc>
        <w:tc>
          <w:tcPr>
            <w:tcW w:w="1276" w:type="dxa"/>
            <w:tcBorders>
              <w:top w:val="nil"/>
              <w:left w:val="nil"/>
              <w:bottom w:val="single" w:sz="4" w:space="0" w:color="auto"/>
              <w:right w:val="nil"/>
            </w:tcBorders>
            <w:shd w:val="clear" w:color="000000" w:fill="FFFFFF"/>
            <w:noWrap/>
            <w:vAlign w:val="bottom"/>
            <w:hideMark/>
          </w:tcPr>
          <w:p w14:paraId="3D7B5E37" w14:textId="77777777" w:rsidR="00991700" w:rsidRPr="00991700" w:rsidRDefault="00991700" w:rsidP="00991700">
            <w:pPr>
              <w:jc w:val="center"/>
              <w:rPr>
                <w:rFonts w:eastAsia="Times New Roman"/>
                <w:color w:val="000000"/>
                <w:sz w:val="20"/>
                <w:szCs w:val="20"/>
                <w:lang w:eastAsia="pt-BR"/>
              </w:rPr>
            </w:pPr>
            <w:r w:rsidRPr="00991700">
              <w:rPr>
                <w:rFonts w:eastAsia="Times New Roman"/>
                <w:color w:val="000000"/>
                <w:sz w:val="20"/>
                <w:szCs w:val="20"/>
                <w:lang w:eastAsia="pt-BR"/>
              </w:rPr>
              <w:t>1.788.581,92</w:t>
            </w:r>
          </w:p>
        </w:tc>
        <w:tc>
          <w:tcPr>
            <w:tcW w:w="707" w:type="dxa"/>
            <w:tcBorders>
              <w:top w:val="nil"/>
              <w:left w:val="nil"/>
              <w:bottom w:val="single" w:sz="4" w:space="0" w:color="auto"/>
              <w:right w:val="nil"/>
            </w:tcBorders>
            <w:shd w:val="clear" w:color="auto" w:fill="auto"/>
            <w:noWrap/>
            <w:vAlign w:val="bottom"/>
            <w:hideMark/>
          </w:tcPr>
          <w:p w14:paraId="40DA4457" w14:textId="77777777" w:rsidR="00991700" w:rsidRPr="00991700" w:rsidRDefault="00991700" w:rsidP="00991700">
            <w:pPr>
              <w:jc w:val="center"/>
              <w:rPr>
                <w:rFonts w:eastAsia="Times New Roman"/>
                <w:color w:val="000000"/>
                <w:sz w:val="20"/>
                <w:szCs w:val="20"/>
                <w:lang w:eastAsia="pt-BR"/>
              </w:rPr>
            </w:pPr>
            <w:r w:rsidRPr="00991700">
              <w:rPr>
                <w:rFonts w:eastAsia="Times New Roman"/>
                <w:color w:val="000000"/>
                <w:sz w:val="20"/>
                <w:szCs w:val="20"/>
                <w:lang w:eastAsia="pt-BR"/>
              </w:rPr>
              <w:t>25%</w:t>
            </w:r>
          </w:p>
        </w:tc>
      </w:tr>
    </w:tbl>
    <w:p w14:paraId="04B4DA86" w14:textId="393BD475" w:rsidR="00A267BF" w:rsidRDefault="00C8633B" w:rsidP="00C8633B">
      <w:pPr>
        <w:spacing w:after="160" w:line="360" w:lineRule="auto"/>
        <w:ind w:left="284"/>
        <w:rPr>
          <w:sz w:val="20"/>
          <w:szCs w:val="20"/>
        </w:rPr>
      </w:pPr>
      <w:r>
        <w:rPr>
          <w:sz w:val="20"/>
          <w:szCs w:val="20"/>
        </w:rPr>
        <w:t>Fonte: Dados da pesquisa (2021)</w:t>
      </w:r>
    </w:p>
    <w:p w14:paraId="47525A21" w14:textId="77777777" w:rsidR="00C8633B" w:rsidRDefault="00C8633B" w:rsidP="00475F5D">
      <w:pPr>
        <w:spacing w:after="160"/>
        <w:ind w:left="284"/>
        <w:rPr>
          <w:sz w:val="20"/>
          <w:szCs w:val="20"/>
        </w:rPr>
      </w:pPr>
    </w:p>
    <w:p w14:paraId="04414E27" w14:textId="72E1A797" w:rsidR="00944C47" w:rsidRDefault="00686E33" w:rsidP="00944C47">
      <w:pPr>
        <w:pStyle w:val="UnidaviTexto-Espao15"/>
      </w:pPr>
      <w:r>
        <w:t>Em 2018</w:t>
      </w:r>
      <w:r w:rsidR="00944C47">
        <w:t>, d</w:t>
      </w:r>
      <w:r w:rsidR="005D2F9E">
        <w:t>as 198</w:t>
      </w:r>
      <w:r w:rsidR="00944C47">
        <w:t xml:space="preserve"> participações vencedoras das licitações no município de Taió</w:t>
      </w:r>
      <w:r>
        <w:t>, constatou-se que 13</w:t>
      </w:r>
      <w:r w:rsidR="00944C47">
        <w:t>1 foram de emp</w:t>
      </w:r>
      <w:r w:rsidR="001B3AC8">
        <w:t>resas enquadradas como Microe</w:t>
      </w:r>
      <w:r w:rsidR="00944C47">
        <w:t>mpresa e Empresas de Pequeno Porte.</w:t>
      </w:r>
    </w:p>
    <w:p w14:paraId="3A6FD536" w14:textId="0F85CCA4" w:rsidR="00F946F8" w:rsidRDefault="00F946F8" w:rsidP="00C8633B">
      <w:pPr>
        <w:pStyle w:val="UnidaviTexto-Espao15"/>
        <w:spacing w:line="240" w:lineRule="auto"/>
        <w:ind w:firstLine="0"/>
      </w:pPr>
    </w:p>
    <w:p w14:paraId="3FEE8364" w14:textId="4C7517F5" w:rsidR="00944C47" w:rsidRDefault="00F946F8" w:rsidP="00F946F8">
      <w:pPr>
        <w:pStyle w:val="UnidaviTexto-Espao15"/>
        <w:spacing w:line="240" w:lineRule="auto"/>
        <w:ind w:left="284" w:firstLine="0"/>
      </w:pPr>
      <w:r w:rsidRPr="007F2776">
        <w:rPr>
          <w:b/>
          <w:sz w:val="20"/>
        </w:rPr>
        <w:t>Gr</w:t>
      </w:r>
      <w:r>
        <w:rPr>
          <w:b/>
          <w:sz w:val="20"/>
        </w:rPr>
        <w:t>áfico 13</w:t>
      </w:r>
      <w:r w:rsidRPr="007F2776">
        <w:rPr>
          <w:b/>
          <w:sz w:val="20"/>
        </w:rPr>
        <w:t xml:space="preserve"> – </w:t>
      </w:r>
      <w:r>
        <w:rPr>
          <w:b/>
          <w:sz w:val="20"/>
        </w:rPr>
        <w:t>Quantidade de participações ME/EPP por região no ano 2018</w:t>
      </w:r>
    </w:p>
    <w:p w14:paraId="49FA0EA9" w14:textId="5EDB3153" w:rsidR="00686E33" w:rsidRDefault="00944C47" w:rsidP="00CA1B3B">
      <w:pPr>
        <w:spacing w:after="160"/>
        <w:ind w:left="284" w:right="284"/>
        <w:contextualSpacing/>
        <w:rPr>
          <w:b/>
          <w:sz w:val="20"/>
        </w:rPr>
      </w:pPr>
      <w:r>
        <w:rPr>
          <w:noProof/>
          <w:lang w:eastAsia="pt-BR"/>
        </w:rPr>
        <w:drawing>
          <wp:inline distT="0" distB="0" distL="0" distR="0" wp14:anchorId="2834797B" wp14:editId="054FDDD8">
            <wp:extent cx="5238750" cy="2562045"/>
            <wp:effectExtent l="0" t="0" r="0" b="1016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96C287" w14:textId="60173478" w:rsidR="00686E33" w:rsidRDefault="00F946F8" w:rsidP="00CA1B3B">
      <w:pPr>
        <w:spacing w:after="160"/>
        <w:ind w:left="284" w:right="284"/>
        <w:contextualSpacing/>
        <w:rPr>
          <w:sz w:val="20"/>
        </w:rPr>
      </w:pPr>
      <w:r>
        <w:rPr>
          <w:sz w:val="20"/>
        </w:rPr>
        <w:t>Fonte: Dados da pesquisa (2021)</w:t>
      </w:r>
    </w:p>
    <w:p w14:paraId="63C362E4" w14:textId="2FC8C16F" w:rsidR="00686E33" w:rsidRDefault="00686E33" w:rsidP="00916ED5">
      <w:pPr>
        <w:spacing w:after="160" w:line="360" w:lineRule="auto"/>
        <w:ind w:left="425" w:right="284"/>
        <w:contextualSpacing/>
        <w:rPr>
          <w:sz w:val="20"/>
        </w:rPr>
      </w:pPr>
    </w:p>
    <w:p w14:paraId="07601C55" w14:textId="2B6BF10D" w:rsidR="00F946F8" w:rsidRDefault="00654C6C" w:rsidP="006B4F46">
      <w:pPr>
        <w:pStyle w:val="UnidaviTexto-Espao15"/>
      </w:pPr>
      <w:r>
        <w:t>Conforma aponta o Gráfico 13, d</w:t>
      </w:r>
      <w:r w:rsidR="00686E33">
        <w:t>essas 131 participações, identificou-se que 58 foram de empresas do município de Taió, representando cerca de 44% do total. Em relação ao Alto Vale do Itajaí constatou-se 26 participações, representando um total de 20%. Já as participações de fora do Alto Vale do Itajaí foram 47 cerca de 36%</w:t>
      </w:r>
      <w:r w:rsidR="006B4F46">
        <w:t xml:space="preserve"> do total das participações.</w:t>
      </w:r>
    </w:p>
    <w:p w14:paraId="26136296" w14:textId="4925E02E" w:rsidR="00F946F8" w:rsidRDefault="00F946F8" w:rsidP="006B4F46">
      <w:pPr>
        <w:spacing w:after="160" w:line="360" w:lineRule="auto"/>
        <w:ind w:right="284"/>
        <w:contextualSpacing/>
        <w:rPr>
          <w:rFonts w:eastAsia="Times New Roman" w:cstheme="minorBidi"/>
          <w:lang w:eastAsia="pt-BR"/>
        </w:rPr>
      </w:pPr>
    </w:p>
    <w:p w14:paraId="4D160F0A" w14:textId="70B074E4" w:rsidR="003753CE" w:rsidRDefault="003753CE" w:rsidP="006B4F46">
      <w:pPr>
        <w:spacing w:after="160" w:line="360" w:lineRule="auto"/>
        <w:ind w:right="284"/>
        <w:contextualSpacing/>
        <w:rPr>
          <w:rFonts w:eastAsia="Times New Roman" w:cstheme="minorBidi"/>
          <w:lang w:eastAsia="pt-BR"/>
        </w:rPr>
      </w:pPr>
    </w:p>
    <w:p w14:paraId="3C8151CE" w14:textId="0D53AAF4" w:rsidR="003753CE" w:rsidRDefault="003753CE" w:rsidP="006B4F46">
      <w:pPr>
        <w:spacing w:after="160" w:line="360" w:lineRule="auto"/>
        <w:ind w:right="284"/>
        <w:contextualSpacing/>
        <w:rPr>
          <w:rFonts w:eastAsia="Times New Roman" w:cstheme="minorBidi"/>
          <w:lang w:eastAsia="pt-BR"/>
        </w:rPr>
      </w:pPr>
    </w:p>
    <w:p w14:paraId="5DD205BD" w14:textId="51AE583F" w:rsidR="003753CE" w:rsidRDefault="003753CE" w:rsidP="006B4F46">
      <w:pPr>
        <w:spacing w:after="160" w:line="360" w:lineRule="auto"/>
        <w:ind w:right="284"/>
        <w:contextualSpacing/>
        <w:rPr>
          <w:rFonts w:eastAsia="Times New Roman" w:cstheme="minorBidi"/>
          <w:lang w:eastAsia="pt-BR"/>
        </w:rPr>
      </w:pPr>
    </w:p>
    <w:p w14:paraId="287C4068" w14:textId="697318F8" w:rsidR="003753CE" w:rsidRDefault="003753CE" w:rsidP="006B4F46">
      <w:pPr>
        <w:spacing w:after="160" w:line="360" w:lineRule="auto"/>
        <w:ind w:right="284"/>
        <w:contextualSpacing/>
        <w:rPr>
          <w:rFonts w:eastAsia="Times New Roman" w:cstheme="minorBidi"/>
          <w:lang w:eastAsia="pt-BR"/>
        </w:rPr>
      </w:pPr>
    </w:p>
    <w:p w14:paraId="7F91D182" w14:textId="62605ACD" w:rsidR="003753CE" w:rsidRDefault="003753CE" w:rsidP="006B4F46">
      <w:pPr>
        <w:spacing w:after="160" w:line="360" w:lineRule="auto"/>
        <w:ind w:right="284"/>
        <w:contextualSpacing/>
        <w:rPr>
          <w:rFonts w:eastAsia="Times New Roman" w:cstheme="minorBidi"/>
          <w:lang w:eastAsia="pt-BR"/>
        </w:rPr>
      </w:pPr>
    </w:p>
    <w:p w14:paraId="034673F2" w14:textId="14EFE1E3" w:rsidR="003753CE" w:rsidRDefault="003753CE" w:rsidP="006B4F46">
      <w:pPr>
        <w:spacing w:after="160" w:line="360" w:lineRule="auto"/>
        <w:ind w:right="284"/>
        <w:contextualSpacing/>
        <w:rPr>
          <w:rFonts w:eastAsia="Times New Roman" w:cstheme="minorBidi"/>
          <w:lang w:eastAsia="pt-BR"/>
        </w:rPr>
      </w:pPr>
    </w:p>
    <w:p w14:paraId="0DD74B60" w14:textId="4498697B" w:rsidR="00F946F8" w:rsidRPr="00F946F8" w:rsidRDefault="00F946F8" w:rsidP="00F946F8">
      <w:pPr>
        <w:ind w:left="284" w:right="284"/>
        <w:contextualSpacing/>
        <w:rPr>
          <w:b/>
          <w:sz w:val="20"/>
        </w:rPr>
      </w:pPr>
      <w:r w:rsidRPr="007F2776">
        <w:rPr>
          <w:b/>
          <w:sz w:val="20"/>
        </w:rPr>
        <w:t>Gr</w:t>
      </w:r>
      <w:r>
        <w:rPr>
          <w:b/>
          <w:sz w:val="20"/>
        </w:rPr>
        <w:t>áfico 14</w:t>
      </w:r>
      <w:r w:rsidRPr="007F2776">
        <w:rPr>
          <w:b/>
          <w:sz w:val="20"/>
        </w:rPr>
        <w:t xml:space="preserve"> – </w:t>
      </w:r>
      <w:r>
        <w:rPr>
          <w:b/>
          <w:sz w:val="20"/>
        </w:rPr>
        <w:t>Valor das empresas ME/EPP por região no ano 2018</w:t>
      </w:r>
    </w:p>
    <w:p w14:paraId="43B1889B" w14:textId="3B244DB4" w:rsidR="00686E33" w:rsidRPr="00686E33" w:rsidRDefault="00DE14E4" w:rsidP="00F946F8">
      <w:pPr>
        <w:pStyle w:val="UnidaviTexto-Espao15"/>
        <w:spacing w:line="240" w:lineRule="auto"/>
        <w:ind w:left="284" w:right="284" w:firstLine="0"/>
      </w:pPr>
      <w:r>
        <w:rPr>
          <w:noProof/>
        </w:rPr>
        <w:drawing>
          <wp:inline distT="0" distB="0" distL="0" distR="0" wp14:anchorId="7AC5C688" wp14:editId="7529FAE9">
            <wp:extent cx="5201728" cy="2536190"/>
            <wp:effectExtent l="0" t="0" r="18415" b="1651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024B73" w14:textId="3EDFCD3F" w:rsidR="00DE14E4" w:rsidRDefault="00F946F8" w:rsidP="00CA1B3B">
      <w:pPr>
        <w:spacing w:after="160"/>
        <w:ind w:left="426" w:right="283" w:hanging="141"/>
        <w:contextualSpacing/>
        <w:rPr>
          <w:sz w:val="20"/>
        </w:rPr>
      </w:pPr>
      <w:r>
        <w:rPr>
          <w:sz w:val="20"/>
        </w:rPr>
        <w:t>Fonte: Dados da pesquisa (2021)</w:t>
      </w:r>
    </w:p>
    <w:p w14:paraId="0E7A6D6D" w14:textId="1FC33F3A" w:rsidR="00DE14E4" w:rsidRDefault="00DE14E4" w:rsidP="00916ED5">
      <w:pPr>
        <w:spacing w:after="160" w:line="360" w:lineRule="auto"/>
        <w:ind w:left="567" w:right="283" w:hanging="284"/>
        <w:contextualSpacing/>
        <w:rPr>
          <w:sz w:val="20"/>
        </w:rPr>
      </w:pPr>
    </w:p>
    <w:p w14:paraId="205D56AF" w14:textId="039D6B83" w:rsidR="00DE14E4" w:rsidRPr="00581EE5" w:rsidRDefault="00654C6C" w:rsidP="00F51C9A">
      <w:pPr>
        <w:pStyle w:val="UnidaviTexto-Espao15"/>
      </w:pPr>
      <w:r>
        <w:t>O Gráfico 14 aponta que</w:t>
      </w:r>
      <w:r w:rsidR="00DE14E4">
        <w:t xml:space="preserve"> o valor maior ficou com empresas ME/EPP do município de Taió representado por R$ </w:t>
      </w:r>
      <w:r w:rsidR="00F51C9A">
        <w:t>3.328.015,32</w:t>
      </w:r>
      <w:r w:rsidR="00DE14E4">
        <w:t>. Em seg</w:t>
      </w:r>
      <w:r w:rsidR="00F51C9A">
        <w:t xml:space="preserve">uida ficaram as empresas ME/EPP </w:t>
      </w:r>
      <w:r w:rsidR="00DE14E4">
        <w:t xml:space="preserve">do Alto Vale do Itajaí com um valor de </w:t>
      </w:r>
      <w:r w:rsidR="00F51C9A">
        <w:t>1.900.686,10</w:t>
      </w:r>
      <w:r w:rsidR="00DE14E4">
        <w:t xml:space="preserve"> e as empresas </w:t>
      </w:r>
      <w:r w:rsidR="00F51C9A">
        <w:t xml:space="preserve">de fora </w:t>
      </w:r>
      <w:r w:rsidR="00DE14E4">
        <w:t>do Alto Vale do Itajaí representaram um valor de 1.</w:t>
      </w:r>
      <w:r w:rsidR="00F51C9A">
        <w:t>788.581,92</w:t>
      </w:r>
      <w:r w:rsidR="00DE14E4">
        <w:t xml:space="preserve">. Pode-se observar que </w:t>
      </w:r>
      <w:r w:rsidR="00F51C9A">
        <w:t xml:space="preserve">apesar da quantidade de participações </w:t>
      </w:r>
      <w:r w:rsidR="005D2F9E">
        <w:t>de</w:t>
      </w:r>
      <w:r w:rsidR="00F51C9A">
        <w:t xml:space="preserve"> fora do Alto Vale do Itajaí</w:t>
      </w:r>
      <w:r w:rsidR="005D2F9E">
        <w:t xml:space="preserve"> terem sido maior</w:t>
      </w:r>
      <w:r w:rsidR="00F51C9A">
        <w:t>, ainda assim 47</w:t>
      </w:r>
      <w:r w:rsidR="00DE14E4">
        <w:t>% do val</w:t>
      </w:r>
      <w:r w:rsidR="003753CE">
        <w:t>or total vencido pelas Microe</w:t>
      </w:r>
      <w:r w:rsidR="00DE14E4">
        <w:t>mpresas e pelas Empresas de Pequeno Porte voltou para o Município</w:t>
      </w:r>
      <w:r w:rsidR="00F51C9A">
        <w:t xml:space="preserve"> de Taió </w:t>
      </w:r>
      <w:r w:rsidR="007A12EA">
        <w:t xml:space="preserve">através de suas empresas, </w:t>
      </w:r>
      <w:r w:rsidR="00F51C9A">
        <w:t>representando o maior valor entre as três categorias</w:t>
      </w:r>
      <w:r w:rsidR="00DE14E4">
        <w:t>.</w:t>
      </w:r>
    </w:p>
    <w:p w14:paraId="5770B1CD" w14:textId="77777777" w:rsidR="00991700" w:rsidRDefault="00991700" w:rsidP="00C8633B">
      <w:pPr>
        <w:spacing w:after="160"/>
        <w:rPr>
          <w:sz w:val="20"/>
          <w:szCs w:val="20"/>
        </w:rPr>
      </w:pPr>
    </w:p>
    <w:p w14:paraId="13ED5AD6" w14:textId="14885048" w:rsidR="00991700" w:rsidRDefault="00991700" w:rsidP="00D84D8F">
      <w:pPr>
        <w:pStyle w:val="UNIDAVISEOSECUNDARIA"/>
      </w:pPr>
      <w:r>
        <w:t>4.3 licitações no município de taió – ano 2019</w:t>
      </w:r>
    </w:p>
    <w:p w14:paraId="2EF5A355" w14:textId="0029C016" w:rsidR="00F946F8" w:rsidRDefault="00F946F8" w:rsidP="00916ED5">
      <w:pPr>
        <w:pStyle w:val="UNIDAVISEOSECUNDARIA"/>
        <w:spacing w:line="360" w:lineRule="auto"/>
      </w:pPr>
    </w:p>
    <w:p w14:paraId="41CD861F" w14:textId="58487FD7" w:rsidR="00654C6C" w:rsidRDefault="005D2F9E" w:rsidP="00654C6C">
      <w:pPr>
        <w:pStyle w:val="UnidaviTexto-Espao15"/>
      </w:pPr>
      <w:r>
        <w:t>No ano de 2019</w:t>
      </w:r>
      <w:r w:rsidRPr="00B12D73">
        <w:t>, o município de Tai</w:t>
      </w:r>
      <w:r>
        <w:t>ó teve um total de 122</w:t>
      </w:r>
      <w:r w:rsidRPr="00B12D73">
        <w:t xml:space="preserve"> licitações homologadas</w:t>
      </w:r>
      <w:r>
        <w:t xml:space="preserve"> e todas foram para a prefeitura</w:t>
      </w:r>
      <w:r w:rsidRPr="00B12D73">
        <w:t>. Em relação aos valores, o valor de referência total informado no</w:t>
      </w:r>
      <w:r>
        <w:t>s editais foi</w:t>
      </w:r>
      <w:r w:rsidRPr="00B12D73">
        <w:t xml:space="preserve"> de R$ </w:t>
      </w:r>
      <w:r>
        <w:t>25.639.762,12 para o ano de 2019</w:t>
      </w:r>
      <w:r w:rsidRPr="00B12D73">
        <w:t xml:space="preserve">, já o valor total que foi homologado, ou seja, </w:t>
      </w:r>
      <w:r w:rsidR="00FB5F22">
        <w:t>efetivamente pago pelo município foi</w:t>
      </w:r>
      <w:r w:rsidRPr="00B12D73">
        <w:t xml:space="preserve"> de R$ </w:t>
      </w:r>
      <w:r w:rsidR="00654C6C">
        <w:t>19.722.082,01 con</w:t>
      </w:r>
      <w:r w:rsidR="003000B4">
        <w:t>forme aponta a demonstradas na T</w:t>
      </w:r>
      <w:r w:rsidR="00654C6C">
        <w:t>abela 11.</w:t>
      </w:r>
    </w:p>
    <w:p w14:paraId="32F9FC98" w14:textId="77777777" w:rsidR="00654C6C" w:rsidRDefault="00654C6C" w:rsidP="00C8633B">
      <w:pPr>
        <w:pStyle w:val="UnidaviTexto-Espao15"/>
        <w:spacing w:line="240" w:lineRule="auto"/>
        <w:ind w:firstLine="0"/>
      </w:pPr>
    </w:p>
    <w:p w14:paraId="46741370" w14:textId="63A20254" w:rsidR="00991700" w:rsidRPr="00F946F8" w:rsidRDefault="00336F6D" w:rsidP="00F946F8">
      <w:pPr>
        <w:ind w:left="284"/>
        <w:rPr>
          <w:b/>
          <w:sz w:val="20"/>
          <w:szCs w:val="20"/>
        </w:rPr>
      </w:pPr>
      <w:r w:rsidRPr="00F946F8">
        <w:rPr>
          <w:b/>
          <w:sz w:val="20"/>
          <w:szCs w:val="20"/>
        </w:rPr>
        <w:t>Tabela 11 – Valor das licitações no ano 2019</w:t>
      </w:r>
    </w:p>
    <w:tbl>
      <w:tblPr>
        <w:tblW w:w="8080" w:type="dxa"/>
        <w:tblInd w:w="284" w:type="dxa"/>
        <w:tblCellMar>
          <w:left w:w="70" w:type="dxa"/>
          <w:right w:w="70" w:type="dxa"/>
        </w:tblCellMar>
        <w:tblLook w:val="04A0" w:firstRow="1" w:lastRow="0" w:firstColumn="1" w:lastColumn="0" w:noHBand="0" w:noVBand="1"/>
      </w:tblPr>
      <w:tblGrid>
        <w:gridCol w:w="1976"/>
        <w:gridCol w:w="596"/>
        <w:gridCol w:w="830"/>
        <w:gridCol w:w="1843"/>
        <w:gridCol w:w="1559"/>
        <w:gridCol w:w="1276"/>
      </w:tblGrid>
      <w:tr w:rsidR="00336F6D" w:rsidRPr="00336F6D" w14:paraId="06812E0F" w14:textId="77777777" w:rsidTr="00F946F8">
        <w:trPr>
          <w:trHeight w:val="300"/>
        </w:trPr>
        <w:tc>
          <w:tcPr>
            <w:tcW w:w="1976" w:type="dxa"/>
            <w:tcBorders>
              <w:top w:val="single" w:sz="4" w:space="0" w:color="auto"/>
              <w:left w:val="nil"/>
              <w:bottom w:val="single" w:sz="4" w:space="0" w:color="auto"/>
              <w:right w:val="nil"/>
            </w:tcBorders>
            <w:shd w:val="clear" w:color="000000" w:fill="FFFFFF"/>
            <w:noWrap/>
            <w:vAlign w:val="center"/>
            <w:hideMark/>
          </w:tcPr>
          <w:p w14:paraId="1CD79726" w14:textId="77777777" w:rsidR="00336F6D" w:rsidRPr="00336F6D" w:rsidRDefault="00336F6D" w:rsidP="00D14FEE">
            <w:pPr>
              <w:ind w:left="-69"/>
              <w:rPr>
                <w:rFonts w:eastAsia="Times New Roman"/>
                <w:b/>
                <w:bCs/>
                <w:color w:val="000000"/>
                <w:sz w:val="20"/>
                <w:szCs w:val="20"/>
                <w:lang w:eastAsia="pt-BR"/>
              </w:rPr>
            </w:pPr>
            <w:r w:rsidRPr="00336F6D">
              <w:rPr>
                <w:rFonts w:eastAsia="Times New Roman"/>
                <w:b/>
                <w:bCs/>
                <w:color w:val="000000"/>
                <w:sz w:val="20"/>
                <w:szCs w:val="20"/>
                <w:lang w:eastAsia="pt-BR"/>
              </w:rPr>
              <w:t>Homologadas</w:t>
            </w:r>
          </w:p>
        </w:tc>
        <w:tc>
          <w:tcPr>
            <w:tcW w:w="596" w:type="dxa"/>
            <w:tcBorders>
              <w:top w:val="single" w:sz="4" w:space="0" w:color="auto"/>
              <w:left w:val="nil"/>
              <w:bottom w:val="single" w:sz="4" w:space="0" w:color="auto"/>
              <w:right w:val="nil"/>
            </w:tcBorders>
            <w:shd w:val="clear" w:color="000000" w:fill="FFFFFF"/>
            <w:noWrap/>
            <w:vAlign w:val="center"/>
            <w:hideMark/>
          </w:tcPr>
          <w:p w14:paraId="15CE557D" w14:textId="77777777" w:rsidR="00336F6D" w:rsidRPr="00336F6D" w:rsidRDefault="00336F6D" w:rsidP="00336F6D">
            <w:pPr>
              <w:jc w:val="center"/>
              <w:rPr>
                <w:rFonts w:eastAsia="Times New Roman"/>
                <w:b/>
                <w:bCs/>
                <w:color w:val="000000"/>
                <w:sz w:val="20"/>
                <w:szCs w:val="20"/>
                <w:lang w:eastAsia="pt-BR"/>
              </w:rPr>
            </w:pPr>
            <w:r w:rsidRPr="00336F6D">
              <w:rPr>
                <w:rFonts w:eastAsia="Times New Roman"/>
                <w:b/>
                <w:bCs/>
                <w:color w:val="000000"/>
                <w:sz w:val="20"/>
                <w:szCs w:val="20"/>
                <w:lang w:eastAsia="pt-BR"/>
              </w:rPr>
              <w:t>Total</w:t>
            </w:r>
          </w:p>
        </w:tc>
        <w:tc>
          <w:tcPr>
            <w:tcW w:w="830" w:type="dxa"/>
            <w:tcBorders>
              <w:top w:val="single" w:sz="4" w:space="0" w:color="auto"/>
              <w:left w:val="nil"/>
              <w:bottom w:val="single" w:sz="4" w:space="0" w:color="auto"/>
              <w:right w:val="nil"/>
            </w:tcBorders>
            <w:shd w:val="clear" w:color="000000" w:fill="FFFFFF"/>
            <w:noWrap/>
            <w:vAlign w:val="center"/>
            <w:hideMark/>
          </w:tcPr>
          <w:p w14:paraId="27B2573B" w14:textId="77777777" w:rsidR="00336F6D" w:rsidRPr="00336F6D" w:rsidRDefault="00336F6D" w:rsidP="00336F6D">
            <w:pPr>
              <w:jc w:val="center"/>
              <w:rPr>
                <w:rFonts w:eastAsia="Times New Roman"/>
                <w:b/>
                <w:bCs/>
                <w:color w:val="000000"/>
                <w:sz w:val="20"/>
                <w:szCs w:val="20"/>
                <w:lang w:eastAsia="pt-BR"/>
              </w:rPr>
            </w:pPr>
            <w:r w:rsidRPr="00336F6D">
              <w:rPr>
                <w:rFonts w:eastAsia="Times New Roman"/>
                <w:b/>
                <w:bCs/>
                <w:color w:val="000000"/>
                <w:sz w:val="20"/>
                <w:szCs w:val="20"/>
                <w:lang w:eastAsia="pt-BR"/>
              </w:rPr>
              <w:t>%</w:t>
            </w:r>
          </w:p>
        </w:tc>
        <w:tc>
          <w:tcPr>
            <w:tcW w:w="1843" w:type="dxa"/>
            <w:tcBorders>
              <w:top w:val="single" w:sz="4" w:space="0" w:color="auto"/>
              <w:left w:val="nil"/>
              <w:bottom w:val="single" w:sz="4" w:space="0" w:color="auto"/>
              <w:right w:val="nil"/>
            </w:tcBorders>
            <w:shd w:val="clear" w:color="auto" w:fill="auto"/>
            <w:noWrap/>
            <w:vAlign w:val="center"/>
            <w:hideMark/>
          </w:tcPr>
          <w:p w14:paraId="7FC93C76" w14:textId="77777777" w:rsidR="00336F6D" w:rsidRPr="00336F6D" w:rsidRDefault="00336F6D" w:rsidP="00336F6D">
            <w:pPr>
              <w:jc w:val="center"/>
              <w:rPr>
                <w:rFonts w:eastAsia="Times New Roman"/>
                <w:b/>
                <w:bCs/>
                <w:color w:val="000000"/>
                <w:sz w:val="20"/>
                <w:szCs w:val="20"/>
                <w:lang w:eastAsia="pt-BR"/>
              </w:rPr>
            </w:pPr>
            <w:r w:rsidRPr="00336F6D">
              <w:rPr>
                <w:rFonts w:eastAsia="Times New Roman"/>
                <w:b/>
                <w:bCs/>
                <w:color w:val="000000"/>
                <w:sz w:val="20"/>
                <w:szCs w:val="20"/>
                <w:lang w:eastAsia="pt-BR"/>
              </w:rPr>
              <w:t>Classe</w:t>
            </w:r>
          </w:p>
        </w:tc>
        <w:tc>
          <w:tcPr>
            <w:tcW w:w="1559" w:type="dxa"/>
            <w:tcBorders>
              <w:top w:val="single" w:sz="4" w:space="0" w:color="auto"/>
              <w:left w:val="nil"/>
              <w:bottom w:val="single" w:sz="4" w:space="0" w:color="auto"/>
              <w:right w:val="nil"/>
            </w:tcBorders>
            <w:shd w:val="clear" w:color="000000" w:fill="FFFFFF"/>
            <w:noWrap/>
            <w:vAlign w:val="center"/>
            <w:hideMark/>
          </w:tcPr>
          <w:p w14:paraId="66216663" w14:textId="77777777" w:rsidR="00336F6D" w:rsidRPr="00336F6D" w:rsidRDefault="00336F6D" w:rsidP="00336F6D">
            <w:pPr>
              <w:jc w:val="center"/>
              <w:rPr>
                <w:rFonts w:eastAsia="Times New Roman"/>
                <w:b/>
                <w:bCs/>
                <w:color w:val="000000"/>
                <w:sz w:val="20"/>
                <w:szCs w:val="20"/>
                <w:lang w:eastAsia="pt-BR"/>
              </w:rPr>
            </w:pPr>
            <w:r w:rsidRPr="00336F6D">
              <w:rPr>
                <w:rFonts w:eastAsia="Times New Roman"/>
                <w:b/>
                <w:bCs/>
                <w:color w:val="000000"/>
                <w:sz w:val="20"/>
                <w:szCs w:val="20"/>
                <w:lang w:eastAsia="pt-BR"/>
              </w:rPr>
              <w:t>Valores:</w:t>
            </w:r>
          </w:p>
        </w:tc>
        <w:tc>
          <w:tcPr>
            <w:tcW w:w="1276" w:type="dxa"/>
            <w:tcBorders>
              <w:top w:val="single" w:sz="4" w:space="0" w:color="auto"/>
              <w:left w:val="nil"/>
              <w:bottom w:val="single" w:sz="4" w:space="0" w:color="auto"/>
              <w:right w:val="nil"/>
            </w:tcBorders>
            <w:shd w:val="clear" w:color="000000" w:fill="FFFFFF"/>
            <w:noWrap/>
            <w:vAlign w:val="center"/>
            <w:hideMark/>
          </w:tcPr>
          <w:p w14:paraId="2A61D6FB" w14:textId="77777777" w:rsidR="00336F6D" w:rsidRPr="00336F6D" w:rsidRDefault="00336F6D" w:rsidP="00336F6D">
            <w:pPr>
              <w:jc w:val="center"/>
              <w:rPr>
                <w:rFonts w:eastAsia="Times New Roman"/>
                <w:b/>
                <w:bCs/>
                <w:color w:val="000000"/>
                <w:sz w:val="20"/>
                <w:szCs w:val="20"/>
                <w:lang w:eastAsia="pt-BR"/>
              </w:rPr>
            </w:pPr>
            <w:r w:rsidRPr="00336F6D">
              <w:rPr>
                <w:rFonts w:eastAsia="Times New Roman"/>
                <w:b/>
                <w:bCs/>
                <w:color w:val="000000"/>
                <w:sz w:val="20"/>
                <w:szCs w:val="20"/>
                <w:lang w:eastAsia="pt-BR"/>
              </w:rPr>
              <w:t>%</w:t>
            </w:r>
          </w:p>
        </w:tc>
      </w:tr>
      <w:tr w:rsidR="00336F6D" w:rsidRPr="00336F6D" w14:paraId="7980DF40" w14:textId="77777777" w:rsidTr="00F946F8">
        <w:trPr>
          <w:trHeight w:val="300"/>
        </w:trPr>
        <w:tc>
          <w:tcPr>
            <w:tcW w:w="1976" w:type="dxa"/>
            <w:tcBorders>
              <w:top w:val="nil"/>
              <w:left w:val="nil"/>
              <w:bottom w:val="single" w:sz="4" w:space="0" w:color="auto"/>
              <w:right w:val="nil"/>
            </w:tcBorders>
            <w:shd w:val="clear" w:color="auto" w:fill="auto"/>
            <w:noWrap/>
            <w:vAlign w:val="center"/>
            <w:hideMark/>
          </w:tcPr>
          <w:p w14:paraId="24D0A4E1" w14:textId="77777777" w:rsidR="00336F6D" w:rsidRPr="00336F6D" w:rsidRDefault="00336F6D" w:rsidP="00D14FEE">
            <w:pPr>
              <w:ind w:left="-69"/>
              <w:rPr>
                <w:rFonts w:eastAsia="Times New Roman"/>
                <w:color w:val="000000"/>
                <w:sz w:val="20"/>
                <w:szCs w:val="20"/>
                <w:lang w:eastAsia="pt-BR"/>
              </w:rPr>
            </w:pPr>
            <w:r w:rsidRPr="00336F6D">
              <w:rPr>
                <w:rFonts w:eastAsia="Times New Roman"/>
                <w:color w:val="000000"/>
                <w:sz w:val="20"/>
                <w:szCs w:val="20"/>
                <w:lang w:eastAsia="pt-BR"/>
              </w:rPr>
              <w:t>Ano 2019</w:t>
            </w:r>
          </w:p>
        </w:tc>
        <w:tc>
          <w:tcPr>
            <w:tcW w:w="596" w:type="dxa"/>
            <w:tcBorders>
              <w:top w:val="nil"/>
              <w:left w:val="nil"/>
              <w:bottom w:val="single" w:sz="4" w:space="0" w:color="auto"/>
              <w:right w:val="nil"/>
            </w:tcBorders>
            <w:shd w:val="clear" w:color="auto" w:fill="auto"/>
            <w:noWrap/>
            <w:vAlign w:val="center"/>
            <w:hideMark/>
          </w:tcPr>
          <w:p w14:paraId="735224C0"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122</w:t>
            </w:r>
          </w:p>
        </w:tc>
        <w:tc>
          <w:tcPr>
            <w:tcW w:w="830" w:type="dxa"/>
            <w:tcBorders>
              <w:top w:val="nil"/>
              <w:left w:val="nil"/>
              <w:bottom w:val="single" w:sz="4" w:space="0" w:color="auto"/>
              <w:right w:val="nil"/>
            </w:tcBorders>
            <w:shd w:val="clear" w:color="000000" w:fill="FFFFFF"/>
            <w:noWrap/>
            <w:vAlign w:val="center"/>
            <w:hideMark/>
          </w:tcPr>
          <w:p w14:paraId="3158D1DC"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100%</w:t>
            </w:r>
          </w:p>
        </w:tc>
        <w:tc>
          <w:tcPr>
            <w:tcW w:w="1843" w:type="dxa"/>
            <w:tcBorders>
              <w:top w:val="nil"/>
              <w:left w:val="nil"/>
              <w:bottom w:val="single" w:sz="4" w:space="0" w:color="auto"/>
              <w:right w:val="nil"/>
            </w:tcBorders>
            <w:shd w:val="clear" w:color="000000" w:fill="FFFFFF"/>
            <w:noWrap/>
            <w:vAlign w:val="center"/>
            <w:hideMark/>
          </w:tcPr>
          <w:p w14:paraId="3777C55B"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Referência</w:t>
            </w:r>
          </w:p>
        </w:tc>
        <w:tc>
          <w:tcPr>
            <w:tcW w:w="1559" w:type="dxa"/>
            <w:tcBorders>
              <w:top w:val="nil"/>
              <w:left w:val="nil"/>
              <w:bottom w:val="single" w:sz="4" w:space="0" w:color="auto"/>
              <w:right w:val="nil"/>
            </w:tcBorders>
            <w:shd w:val="clear" w:color="000000" w:fill="FFFFFF"/>
            <w:noWrap/>
            <w:vAlign w:val="center"/>
            <w:hideMark/>
          </w:tcPr>
          <w:p w14:paraId="08DB0522"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25.639.762,12</w:t>
            </w:r>
          </w:p>
        </w:tc>
        <w:tc>
          <w:tcPr>
            <w:tcW w:w="1276" w:type="dxa"/>
            <w:tcBorders>
              <w:top w:val="nil"/>
              <w:left w:val="nil"/>
              <w:bottom w:val="single" w:sz="4" w:space="0" w:color="auto"/>
              <w:right w:val="nil"/>
            </w:tcBorders>
            <w:shd w:val="clear" w:color="000000" w:fill="FFFFFF"/>
            <w:noWrap/>
            <w:vAlign w:val="center"/>
            <w:hideMark/>
          </w:tcPr>
          <w:p w14:paraId="5560B15B"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100%</w:t>
            </w:r>
          </w:p>
        </w:tc>
      </w:tr>
      <w:tr w:rsidR="00336F6D" w:rsidRPr="00336F6D" w14:paraId="31A87D44" w14:textId="77777777" w:rsidTr="00F946F8">
        <w:trPr>
          <w:trHeight w:val="300"/>
        </w:trPr>
        <w:tc>
          <w:tcPr>
            <w:tcW w:w="1976" w:type="dxa"/>
            <w:tcBorders>
              <w:top w:val="nil"/>
              <w:left w:val="nil"/>
              <w:bottom w:val="single" w:sz="4" w:space="0" w:color="auto"/>
              <w:right w:val="nil"/>
            </w:tcBorders>
            <w:shd w:val="clear" w:color="000000" w:fill="FFFFFF"/>
            <w:noWrap/>
            <w:vAlign w:val="center"/>
            <w:hideMark/>
          </w:tcPr>
          <w:p w14:paraId="6001895E" w14:textId="77777777" w:rsidR="00336F6D" w:rsidRPr="00336F6D" w:rsidRDefault="00336F6D" w:rsidP="00D14FEE">
            <w:pPr>
              <w:ind w:left="-69"/>
              <w:rPr>
                <w:rFonts w:eastAsia="Times New Roman"/>
                <w:color w:val="000000"/>
                <w:sz w:val="20"/>
                <w:szCs w:val="20"/>
                <w:lang w:eastAsia="pt-BR"/>
              </w:rPr>
            </w:pPr>
            <w:r w:rsidRPr="00336F6D">
              <w:rPr>
                <w:rFonts w:eastAsia="Times New Roman"/>
                <w:color w:val="000000"/>
                <w:sz w:val="20"/>
                <w:szCs w:val="20"/>
                <w:lang w:eastAsia="pt-BR"/>
              </w:rPr>
              <w:t>Prefeitura</w:t>
            </w:r>
          </w:p>
        </w:tc>
        <w:tc>
          <w:tcPr>
            <w:tcW w:w="596" w:type="dxa"/>
            <w:tcBorders>
              <w:top w:val="nil"/>
              <w:left w:val="nil"/>
              <w:bottom w:val="single" w:sz="4" w:space="0" w:color="auto"/>
              <w:right w:val="nil"/>
            </w:tcBorders>
            <w:shd w:val="clear" w:color="000000" w:fill="FFFFFF"/>
            <w:noWrap/>
            <w:vAlign w:val="center"/>
            <w:hideMark/>
          </w:tcPr>
          <w:p w14:paraId="35FFC360"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122</w:t>
            </w:r>
          </w:p>
        </w:tc>
        <w:tc>
          <w:tcPr>
            <w:tcW w:w="830" w:type="dxa"/>
            <w:tcBorders>
              <w:top w:val="nil"/>
              <w:left w:val="nil"/>
              <w:bottom w:val="single" w:sz="4" w:space="0" w:color="auto"/>
              <w:right w:val="nil"/>
            </w:tcBorders>
            <w:shd w:val="clear" w:color="000000" w:fill="FFFFFF"/>
            <w:noWrap/>
            <w:vAlign w:val="center"/>
            <w:hideMark/>
          </w:tcPr>
          <w:p w14:paraId="2FF706C1"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100%</w:t>
            </w:r>
          </w:p>
        </w:tc>
        <w:tc>
          <w:tcPr>
            <w:tcW w:w="1843" w:type="dxa"/>
            <w:tcBorders>
              <w:top w:val="nil"/>
              <w:left w:val="nil"/>
              <w:bottom w:val="single" w:sz="4" w:space="0" w:color="auto"/>
              <w:right w:val="nil"/>
            </w:tcBorders>
            <w:shd w:val="clear" w:color="000000" w:fill="FFFFFF"/>
            <w:noWrap/>
            <w:vAlign w:val="center"/>
            <w:hideMark/>
          </w:tcPr>
          <w:p w14:paraId="32CADB87"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Homologados</w:t>
            </w:r>
          </w:p>
        </w:tc>
        <w:tc>
          <w:tcPr>
            <w:tcW w:w="1559" w:type="dxa"/>
            <w:tcBorders>
              <w:top w:val="nil"/>
              <w:left w:val="nil"/>
              <w:bottom w:val="single" w:sz="4" w:space="0" w:color="auto"/>
              <w:right w:val="nil"/>
            </w:tcBorders>
            <w:shd w:val="clear" w:color="000000" w:fill="FFFFFF"/>
            <w:noWrap/>
            <w:vAlign w:val="center"/>
            <w:hideMark/>
          </w:tcPr>
          <w:p w14:paraId="2B549379"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19.722.082,01</w:t>
            </w:r>
          </w:p>
        </w:tc>
        <w:tc>
          <w:tcPr>
            <w:tcW w:w="1276" w:type="dxa"/>
            <w:tcBorders>
              <w:top w:val="nil"/>
              <w:left w:val="nil"/>
              <w:bottom w:val="single" w:sz="4" w:space="0" w:color="auto"/>
              <w:right w:val="nil"/>
            </w:tcBorders>
            <w:shd w:val="clear" w:color="000000" w:fill="FFFFFF"/>
            <w:noWrap/>
            <w:vAlign w:val="center"/>
            <w:hideMark/>
          </w:tcPr>
          <w:p w14:paraId="66AA6318"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70%</w:t>
            </w:r>
          </w:p>
        </w:tc>
      </w:tr>
      <w:tr w:rsidR="00336F6D" w:rsidRPr="00336F6D" w14:paraId="50178DBA" w14:textId="77777777" w:rsidTr="00F946F8">
        <w:trPr>
          <w:trHeight w:val="300"/>
        </w:trPr>
        <w:tc>
          <w:tcPr>
            <w:tcW w:w="1976" w:type="dxa"/>
            <w:tcBorders>
              <w:top w:val="nil"/>
              <w:left w:val="nil"/>
              <w:bottom w:val="single" w:sz="4" w:space="0" w:color="auto"/>
              <w:right w:val="nil"/>
            </w:tcBorders>
            <w:shd w:val="clear" w:color="000000" w:fill="FFFFFF"/>
            <w:noWrap/>
            <w:vAlign w:val="center"/>
            <w:hideMark/>
          </w:tcPr>
          <w:p w14:paraId="27DA629C" w14:textId="77777777" w:rsidR="00336F6D" w:rsidRPr="00336F6D" w:rsidRDefault="00336F6D" w:rsidP="00D14FEE">
            <w:pPr>
              <w:ind w:left="-69"/>
              <w:rPr>
                <w:rFonts w:eastAsia="Times New Roman"/>
                <w:color w:val="000000"/>
                <w:sz w:val="20"/>
                <w:szCs w:val="20"/>
                <w:lang w:eastAsia="pt-BR"/>
              </w:rPr>
            </w:pPr>
            <w:r w:rsidRPr="00336F6D">
              <w:rPr>
                <w:rFonts w:eastAsia="Times New Roman"/>
                <w:color w:val="000000"/>
                <w:sz w:val="20"/>
                <w:szCs w:val="20"/>
                <w:lang w:eastAsia="pt-BR"/>
              </w:rPr>
              <w:t>Câmara de Vereadores</w:t>
            </w:r>
          </w:p>
        </w:tc>
        <w:tc>
          <w:tcPr>
            <w:tcW w:w="596" w:type="dxa"/>
            <w:tcBorders>
              <w:top w:val="nil"/>
              <w:left w:val="nil"/>
              <w:bottom w:val="single" w:sz="4" w:space="0" w:color="auto"/>
              <w:right w:val="nil"/>
            </w:tcBorders>
            <w:shd w:val="clear" w:color="000000" w:fill="FFFFFF"/>
            <w:noWrap/>
            <w:vAlign w:val="center"/>
            <w:hideMark/>
          </w:tcPr>
          <w:p w14:paraId="0005CA66"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0</w:t>
            </w:r>
          </w:p>
        </w:tc>
        <w:tc>
          <w:tcPr>
            <w:tcW w:w="830" w:type="dxa"/>
            <w:tcBorders>
              <w:top w:val="nil"/>
              <w:left w:val="nil"/>
              <w:bottom w:val="single" w:sz="4" w:space="0" w:color="auto"/>
              <w:right w:val="nil"/>
            </w:tcBorders>
            <w:shd w:val="clear" w:color="000000" w:fill="FFFFFF"/>
            <w:noWrap/>
            <w:vAlign w:val="center"/>
            <w:hideMark/>
          </w:tcPr>
          <w:p w14:paraId="793268B8"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0%</w:t>
            </w:r>
          </w:p>
        </w:tc>
        <w:tc>
          <w:tcPr>
            <w:tcW w:w="1843" w:type="dxa"/>
            <w:tcBorders>
              <w:top w:val="nil"/>
              <w:left w:val="nil"/>
              <w:bottom w:val="single" w:sz="4" w:space="0" w:color="auto"/>
              <w:right w:val="nil"/>
            </w:tcBorders>
            <w:shd w:val="clear" w:color="000000" w:fill="FFFFFF"/>
            <w:noWrap/>
            <w:vAlign w:val="center"/>
            <w:hideMark/>
          </w:tcPr>
          <w:p w14:paraId="1DE8477E"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Diferença/economia</w:t>
            </w:r>
          </w:p>
        </w:tc>
        <w:tc>
          <w:tcPr>
            <w:tcW w:w="1559" w:type="dxa"/>
            <w:tcBorders>
              <w:top w:val="nil"/>
              <w:left w:val="nil"/>
              <w:bottom w:val="single" w:sz="4" w:space="0" w:color="auto"/>
              <w:right w:val="nil"/>
            </w:tcBorders>
            <w:shd w:val="clear" w:color="000000" w:fill="FFFFFF"/>
            <w:noWrap/>
            <w:vAlign w:val="center"/>
            <w:hideMark/>
          </w:tcPr>
          <w:p w14:paraId="730B7CB8"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5.932.680,11</w:t>
            </w:r>
          </w:p>
        </w:tc>
        <w:tc>
          <w:tcPr>
            <w:tcW w:w="1276" w:type="dxa"/>
            <w:tcBorders>
              <w:top w:val="nil"/>
              <w:left w:val="nil"/>
              <w:bottom w:val="single" w:sz="4" w:space="0" w:color="auto"/>
              <w:right w:val="nil"/>
            </w:tcBorders>
            <w:shd w:val="clear" w:color="000000" w:fill="FFFFFF"/>
            <w:noWrap/>
            <w:vAlign w:val="center"/>
            <w:hideMark/>
          </w:tcPr>
          <w:p w14:paraId="1ABC97C8"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30%</w:t>
            </w:r>
          </w:p>
        </w:tc>
      </w:tr>
    </w:tbl>
    <w:p w14:paraId="712D55B3" w14:textId="7486F82B" w:rsidR="004E5A9C" w:rsidRDefault="003F2D7E" w:rsidP="00F946F8">
      <w:pPr>
        <w:spacing w:after="160" w:line="259" w:lineRule="auto"/>
        <w:ind w:left="284"/>
        <w:rPr>
          <w:sz w:val="20"/>
          <w:szCs w:val="20"/>
        </w:rPr>
      </w:pPr>
      <w:r>
        <w:rPr>
          <w:sz w:val="20"/>
          <w:szCs w:val="20"/>
        </w:rPr>
        <w:t>Fonte: Dados da pesquisa</w:t>
      </w:r>
    </w:p>
    <w:p w14:paraId="2BE7F99A" w14:textId="77777777" w:rsidR="00F946F8" w:rsidRDefault="00F946F8" w:rsidP="00916ED5">
      <w:pPr>
        <w:spacing w:after="160" w:line="360" w:lineRule="auto"/>
        <w:ind w:left="284"/>
        <w:rPr>
          <w:sz w:val="20"/>
          <w:szCs w:val="20"/>
        </w:rPr>
      </w:pPr>
    </w:p>
    <w:p w14:paraId="0438316B" w14:textId="70C7E996" w:rsidR="00336F6D" w:rsidRDefault="003000B4" w:rsidP="004E5A9C">
      <w:pPr>
        <w:pStyle w:val="UnidaviTexto-Espao15"/>
      </w:pPr>
      <w:r>
        <w:t>Pode-se observar conforme a T</w:t>
      </w:r>
      <w:r w:rsidR="004E5A9C">
        <w:t xml:space="preserve">abela 11, uma economia de R$ 5.932.680,11 ao longo do ano, pelo fato de existir o processo licitatório, que permite a disputa entre os participantes e, como consequência gera uma economia para a entidade requisitante, aqui representada pelo município de Taió. </w:t>
      </w:r>
    </w:p>
    <w:p w14:paraId="69589E70" w14:textId="69010EE2" w:rsidR="004E5A9C" w:rsidRDefault="004E5A9C" w:rsidP="00C8633B">
      <w:pPr>
        <w:pStyle w:val="UnidaviTexto-Espao15"/>
        <w:spacing w:line="240" w:lineRule="auto"/>
      </w:pPr>
    </w:p>
    <w:p w14:paraId="68A4F01B" w14:textId="7DC33500" w:rsidR="00F946F8" w:rsidRPr="00F946F8" w:rsidRDefault="00F946F8" w:rsidP="00F946F8">
      <w:pPr>
        <w:pStyle w:val="UnidaviTexto-Espao15"/>
        <w:spacing w:line="240" w:lineRule="auto"/>
        <w:ind w:left="284" w:firstLine="0"/>
        <w:contextualSpacing/>
        <w:rPr>
          <w:b/>
          <w:sz w:val="20"/>
        </w:rPr>
      </w:pPr>
      <w:r w:rsidRPr="007F2776">
        <w:rPr>
          <w:b/>
          <w:sz w:val="20"/>
        </w:rPr>
        <w:t>Gr</w:t>
      </w:r>
      <w:r>
        <w:rPr>
          <w:b/>
          <w:sz w:val="20"/>
        </w:rPr>
        <w:t>áfico 15</w:t>
      </w:r>
      <w:r w:rsidRPr="007F2776">
        <w:rPr>
          <w:b/>
          <w:sz w:val="20"/>
        </w:rPr>
        <w:t xml:space="preserve"> – Valor total/</w:t>
      </w:r>
      <w:r>
        <w:rPr>
          <w:b/>
          <w:sz w:val="20"/>
        </w:rPr>
        <w:t>economia no ano 2019</w:t>
      </w:r>
    </w:p>
    <w:p w14:paraId="133B2594" w14:textId="5FE0B2DA" w:rsidR="004E5A9C" w:rsidRDefault="004E5A9C" w:rsidP="00156B9D">
      <w:pPr>
        <w:pStyle w:val="UnidaviTexto-Espao15"/>
        <w:spacing w:line="240" w:lineRule="auto"/>
        <w:ind w:left="284" w:right="283" w:firstLine="0"/>
      </w:pPr>
      <w:r>
        <w:rPr>
          <w:noProof/>
        </w:rPr>
        <w:drawing>
          <wp:inline distT="0" distB="0" distL="0" distR="0" wp14:anchorId="4A3A4E94" wp14:editId="7FFE9756">
            <wp:extent cx="5191125" cy="2138680"/>
            <wp:effectExtent l="38100" t="0" r="9525" b="1397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B5119B" w14:textId="1EB18B6C" w:rsidR="004E5A9C" w:rsidRDefault="003F2D7E" w:rsidP="004E5A9C">
      <w:pPr>
        <w:pStyle w:val="UnidaviTexto-Espao15"/>
        <w:spacing w:line="240" w:lineRule="auto"/>
        <w:ind w:left="284" w:firstLine="0"/>
        <w:contextualSpacing/>
        <w:rPr>
          <w:sz w:val="20"/>
        </w:rPr>
      </w:pPr>
      <w:r>
        <w:rPr>
          <w:sz w:val="20"/>
        </w:rPr>
        <w:t>Fonte: Dados da pesquisa (2021)</w:t>
      </w:r>
    </w:p>
    <w:p w14:paraId="72ACFEB1" w14:textId="023ABDEC" w:rsidR="00336F6D" w:rsidRDefault="00336F6D" w:rsidP="00F946F8">
      <w:pPr>
        <w:pStyle w:val="UNIDAVISEOSECUNDARIA"/>
        <w:spacing w:line="360" w:lineRule="auto"/>
      </w:pPr>
    </w:p>
    <w:p w14:paraId="7B0651A2" w14:textId="737D808C" w:rsidR="00343300" w:rsidRDefault="00654C6C" w:rsidP="00C8633B">
      <w:pPr>
        <w:pStyle w:val="UnidaviTexto-Espao15"/>
      </w:pPr>
      <w:r>
        <w:t>O Gráfico 15 ilustra que c</w:t>
      </w:r>
      <w:r w:rsidR="004E5A9C">
        <w:t>erca de 23% do valor de referência foi economizado no ano de 2019 e puderam ser realocados pela gestão pública do município, conforme as necessid</w:t>
      </w:r>
      <w:r w:rsidR="00C8633B">
        <w:t>ades da população.</w:t>
      </w:r>
    </w:p>
    <w:p w14:paraId="30B96509" w14:textId="77777777" w:rsidR="00C8633B" w:rsidRDefault="00C8633B" w:rsidP="00C8633B">
      <w:pPr>
        <w:pStyle w:val="UnidaviTexto-Espao15"/>
        <w:spacing w:line="240" w:lineRule="auto"/>
      </w:pPr>
    </w:p>
    <w:p w14:paraId="4A18182F" w14:textId="572992B9" w:rsidR="00F946F8" w:rsidRPr="00F946F8" w:rsidRDefault="00F946F8" w:rsidP="00A20485">
      <w:pPr>
        <w:pStyle w:val="UnidaviTexto-Espao15"/>
        <w:spacing w:line="240" w:lineRule="auto"/>
        <w:ind w:left="284" w:firstLine="0"/>
        <w:contextualSpacing/>
        <w:rPr>
          <w:b/>
          <w:sz w:val="20"/>
        </w:rPr>
      </w:pPr>
      <w:r>
        <w:rPr>
          <w:b/>
          <w:sz w:val="20"/>
        </w:rPr>
        <w:t>Gráfico 16</w:t>
      </w:r>
      <w:r w:rsidRPr="007F2776">
        <w:rPr>
          <w:b/>
          <w:sz w:val="20"/>
        </w:rPr>
        <w:t xml:space="preserve"> – </w:t>
      </w:r>
      <w:r>
        <w:rPr>
          <w:b/>
          <w:sz w:val="20"/>
        </w:rPr>
        <w:t>Áreas de aplicação dos recursos no ano 2019</w:t>
      </w:r>
    </w:p>
    <w:p w14:paraId="03C4E8C9" w14:textId="00BC5E85" w:rsidR="00481182" w:rsidRDefault="00A20485" w:rsidP="00A20485">
      <w:pPr>
        <w:pStyle w:val="UnidaviTexto-Espao15"/>
        <w:tabs>
          <w:tab w:val="left" w:pos="8505"/>
        </w:tabs>
        <w:spacing w:line="240" w:lineRule="auto"/>
        <w:ind w:left="284" w:right="284" w:firstLine="0"/>
      </w:pPr>
      <w:r>
        <w:rPr>
          <w:noProof/>
        </w:rPr>
        <w:drawing>
          <wp:inline distT="0" distB="0" distL="0" distR="0" wp14:anchorId="5582B3B6" wp14:editId="32E8487E">
            <wp:extent cx="5210354" cy="3192145"/>
            <wp:effectExtent l="0" t="0" r="9525" b="8255"/>
            <wp:docPr id="200" name="Gráfico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07CC5F" w14:textId="6ACB454A" w:rsidR="00B30A88" w:rsidRPr="001E0F72" w:rsidRDefault="003F2D7E" w:rsidP="00A20485">
      <w:pPr>
        <w:pStyle w:val="UnidaviTexto-Espao15"/>
        <w:spacing w:line="240" w:lineRule="auto"/>
        <w:ind w:left="284" w:firstLine="0"/>
        <w:contextualSpacing/>
        <w:rPr>
          <w:sz w:val="20"/>
        </w:rPr>
      </w:pPr>
      <w:r>
        <w:rPr>
          <w:sz w:val="20"/>
        </w:rPr>
        <w:t>Fonte: Dados da pesquisa (2021)</w:t>
      </w:r>
    </w:p>
    <w:p w14:paraId="2A3822FE" w14:textId="77777777" w:rsidR="00B30A88" w:rsidRDefault="00B30A88" w:rsidP="00916ED5">
      <w:pPr>
        <w:pStyle w:val="UnidaviTexto-Espao15"/>
      </w:pPr>
    </w:p>
    <w:p w14:paraId="4ADB9E76" w14:textId="1FC128A7" w:rsidR="00B30A88" w:rsidRDefault="00B30A88" w:rsidP="00B30A88">
      <w:pPr>
        <w:pStyle w:val="UnidaviTexto-Espao15"/>
      </w:pPr>
      <w:r>
        <w:lastRenderedPageBreak/>
        <w:t xml:space="preserve">As áreas de aplicação dos recursos </w:t>
      </w:r>
      <w:r w:rsidR="003000B4">
        <w:t>de acordo com o G</w:t>
      </w:r>
      <w:r w:rsidR="00343300">
        <w:t xml:space="preserve">ráfico 16, </w:t>
      </w:r>
      <w:r>
        <w:t>foram especificadas nos editais em 2019 apenas como</w:t>
      </w:r>
      <w:r w:rsidR="00C9407D">
        <w:t>:</w:t>
      </w:r>
      <w:r>
        <w:t xml:space="preserve"> câmara de vereadores, secretaria da saúde, assistência social, instituto de previdência social e município de Taió. Não foram especificadas para quais secretarias os recurso</w:t>
      </w:r>
      <w:r w:rsidR="00C9407D">
        <w:t>s foram enviados, pois organograma do município está</w:t>
      </w:r>
      <w:r>
        <w:t xml:space="preserve"> organizado de uma forma em que as compras são feitas pelo município e realocadas conforme as necessidades de cada secretaria. Por esse motivo a pesquisa tornou-se limitada, pelo fato de não poder especificar os valores aplicados em cada espécie de bens e/ou serviços contratados pela administração. </w:t>
      </w:r>
    </w:p>
    <w:p w14:paraId="2294A95A" w14:textId="4A42EE10" w:rsidR="004E5A9C" w:rsidRDefault="004E5A9C" w:rsidP="007C575A">
      <w:pPr>
        <w:pStyle w:val="UnidaviTexto-Espao15"/>
      </w:pPr>
      <w:r>
        <w:t xml:space="preserve">Ao que se refere às modalidades de licitação, no ano de 2019 foram utilizadas </w:t>
      </w:r>
      <w:r w:rsidR="0051727F">
        <w:t xml:space="preserve">quatro modalidades, mais as realizações feitas através de inexigibilidade e dispensa de licitação. </w:t>
      </w:r>
      <w:r w:rsidR="003000B4">
        <w:t>C</w:t>
      </w:r>
      <w:r>
        <w:t>onstatou-se</w:t>
      </w:r>
      <w:r w:rsidR="00C9407D">
        <w:t xml:space="preserve"> que durante o ano, </w:t>
      </w:r>
      <w:r w:rsidR="003000B4">
        <w:t xml:space="preserve">conforme a Tabela 12 que </w:t>
      </w:r>
      <w:r w:rsidR="00C9407D">
        <w:t>a</w:t>
      </w:r>
      <w:r>
        <w:t xml:space="preserve"> mais utilizada foi a modalidade Pregão</w:t>
      </w:r>
      <w:r w:rsidR="007C575A">
        <w:t xml:space="preserve"> Presencial, representada por 83 das 122</w:t>
      </w:r>
      <w:r>
        <w:t xml:space="preserve"> licit</w:t>
      </w:r>
      <w:r w:rsidR="007C575A">
        <w:t>ações homologadas.</w:t>
      </w:r>
    </w:p>
    <w:p w14:paraId="07E22DAC" w14:textId="77777777" w:rsidR="004E5A9C" w:rsidRDefault="004E5A9C" w:rsidP="003000B4">
      <w:pPr>
        <w:pStyle w:val="UNIDAVISEOSECUNDARIA"/>
      </w:pPr>
    </w:p>
    <w:p w14:paraId="07C194E6" w14:textId="6679C1E2" w:rsidR="00336F6D" w:rsidRPr="003F2D7E" w:rsidRDefault="00C42D0B" w:rsidP="003F2D7E">
      <w:pPr>
        <w:pStyle w:val="UnidaviTexto-Espao15"/>
        <w:spacing w:line="240" w:lineRule="auto"/>
        <w:ind w:left="284" w:firstLine="142"/>
        <w:rPr>
          <w:b/>
          <w:sz w:val="20"/>
        </w:rPr>
      </w:pPr>
      <w:r w:rsidRPr="003F2D7E">
        <w:rPr>
          <w:b/>
          <w:sz w:val="20"/>
        </w:rPr>
        <w:t>Tabela 12 – Descritivo das modalidades de licitação no ano 2019</w:t>
      </w:r>
    </w:p>
    <w:tbl>
      <w:tblPr>
        <w:tblW w:w="8079" w:type="dxa"/>
        <w:tblInd w:w="426" w:type="dxa"/>
        <w:tblCellMar>
          <w:left w:w="70" w:type="dxa"/>
          <w:right w:w="70" w:type="dxa"/>
        </w:tblCellMar>
        <w:tblLook w:val="04A0" w:firstRow="1" w:lastRow="0" w:firstColumn="1" w:lastColumn="0" w:noHBand="0" w:noVBand="1"/>
      </w:tblPr>
      <w:tblGrid>
        <w:gridCol w:w="1701"/>
        <w:gridCol w:w="2344"/>
        <w:gridCol w:w="2126"/>
        <w:gridCol w:w="1908"/>
      </w:tblGrid>
      <w:tr w:rsidR="00C42D0B" w:rsidRPr="00C42D0B" w14:paraId="64D89800" w14:textId="77777777" w:rsidTr="003F2D7E">
        <w:trPr>
          <w:trHeight w:val="300"/>
        </w:trPr>
        <w:tc>
          <w:tcPr>
            <w:tcW w:w="1701" w:type="dxa"/>
            <w:tcBorders>
              <w:top w:val="single" w:sz="4" w:space="0" w:color="auto"/>
              <w:left w:val="nil"/>
              <w:bottom w:val="single" w:sz="4" w:space="0" w:color="auto"/>
              <w:right w:val="nil"/>
            </w:tcBorders>
            <w:shd w:val="clear" w:color="000000" w:fill="FFFFFF"/>
            <w:noWrap/>
            <w:vAlign w:val="bottom"/>
            <w:hideMark/>
          </w:tcPr>
          <w:p w14:paraId="2A3442FC" w14:textId="77777777" w:rsidR="00C42D0B" w:rsidRPr="00C42D0B" w:rsidRDefault="00C42D0B" w:rsidP="00D14FEE">
            <w:pPr>
              <w:ind w:left="-77"/>
              <w:rPr>
                <w:rFonts w:eastAsia="Times New Roman"/>
                <w:b/>
                <w:bCs/>
                <w:color w:val="000000"/>
                <w:sz w:val="20"/>
                <w:szCs w:val="20"/>
                <w:lang w:eastAsia="pt-BR"/>
              </w:rPr>
            </w:pPr>
            <w:r w:rsidRPr="00C42D0B">
              <w:rPr>
                <w:rFonts w:eastAsia="Times New Roman"/>
                <w:b/>
                <w:bCs/>
                <w:color w:val="000000"/>
                <w:sz w:val="20"/>
                <w:szCs w:val="20"/>
                <w:lang w:eastAsia="pt-BR"/>
              </w:rPr>
              <w:t>Modalidades</w:t>
            </w:r>
          </w:p>
        </w:tc>
        <w:tc>
          <w:tcPr>
            <w:tcW w:w="2344" w:type="dxa"/>
            <w:tcBorders>
              <w:top w:val="single" w:sz="4" w:space="0" w:color="auto"/>
              <w:left w:val="nil"/>
              <w:bottom w:val="single" w:sz="4" w:space="0" w:color="auto"/>
              <w:right w:val="nil"/>
            </w:tcBorders>
            <w:shd w:val="clear" w:color="000000" w:fill="FFFFFF"/>
            <w:noWrap/>
            <w:vAlign w:val="bottom"/>
            <w:hideMark/>
          </w:tcPr>
          <w:p w14:paraId="31FA7F7C" w14:textId="77777777" w:rsidR="00C42D0B" w:rsidRPr="00C42D0B" w:rsidRDefault="00C42D0B" w:rsidP="00C42D0B">
            <w:pPr>
              <w:jc w:val="center"/>
              <w:rPr>
                <w:rFonts w:eastAsia="Times New Roman"/>
                <w:b/>
                <w:bCs/>
                <w:color w:val="000000"/>
                <w:sz w:val="20"/>
                <w:szCs w:val="20"/>
                <w:lang w:eastAsia="pt-BR"/>
              </w:rPr>
            </w:pPr>
            <w:r w:rsidRPr="00C42D0B">
              <w:rPr>
                <w:rFonts w:eastAsia="Times New Roman"/>
                <w:b/>
                <w:bCs/>
                <w:color w:val="000000"/>
                <w:sz w:val="20"/>
                <w:szCs w:val="20"/>
                <w:lang w:eastAsia="pt-BR"/>
              </w:rPr>
              <w:t>Licitações</w:t>
            </w:r>
          </w:p>
        </w:tc>
        <w:tc>
          <w:tcPr>
            <w:tcW w:w="2126" w:type="dxa"/>
            <w:tcBorders>
              <w:top w:val="single" w:sz="4" w:space="0" w:color="auto"/>
              <w:left w:val="nil"/>
              <w:bottom w:val="single" w:sz="4" w:space="0" w:color="auto"/>
              <w:right w:val="nil"/>
            </w:tcBorders>
            <w:shd w:val="clear" w:color="000000" w:fill="FFFFFF"/>
            <w:noWrap/>
            <w:vAlign w:val="bottom"/>
            <w:hideMark/>
          </w:tcPr>
          <w:p w14:paraId="71F98BE4" w14:textId="77777777" w:rsidR="00C42D0B" w:rsidRPr="00C42D0B" w:rsidRDefault="00C42D0B" w:rsidP="00C42D0B">
            <w:pPr>
              <w:jc w:val="center"/>
              <w:rPr>
                <w:rFonts w:eastAsia="Times New Roman"/>
                <w:b/>
                <w:bCs/>
                <w:color w:val="000000"/>
                <w:sz w:val="20"/>
                <w:szCs w:val="20"/>
                <w:lang w:eastAsia="pt-BR"/>
              </w:rPr>
            </w:pPr>
            <w:r w:rsidRPr="00C42D0B">
              <w:rPr>
                <w:rFonts w:eastAsia="Times New Roman"/>
                <w:b/>
                <w:bCs/>
                <w:color w:val="000000"/>
                <w:sz w:val="20"/>
                <w:szCs w:val="20"/>
                <w:lang w:eastAsia="pt-BR"/>
              </w:rPr>
              <w:t>%</w:t>
            </w:r>
          </w:p>
        </w:tc>
        <w:tc>
          <w:tcPr>
            <w:tcW w:w="1908" w:type="dxa"/>
            <w:tcBorders>
              <w:top w:val="single" w:sz="4" w:space="0" w:color="auto"/>
              <w:left w:val="nil"/>
              <w:bottom w:val="single" w:sz="4" w:space="0" w:color="auto"/>
              <w:right w:val="nil"/>
            </w:tcBorders>
            <w:shd w:val="clear" w:color="000000" w:fill="FFFFFF"/>
            <w:noWrap/>
            <w:vAlign w:val="bottom"/>
            <w:hideMark/>
          </w:tcPr>
          <w:p w14:paraId="0D788D7C" w14:textId="77777777" w:rsidR="00C42D0B" w:rsidRPr="00C42D0B" w:rsidRDefault="00C42D0B" w:rsidP="00C42D0B">
            <w:pPr>
              <w:jc w:val="center"/>
              <w:rPr>
                <w:rFonts w:eastAsia="Times New Roman"/>
                <w:b/>
                <w:bCs/>
                <w:color w:val="000000"/>
                <w:sz w:val="20"/>
                <w:szCs w:val="20"/>
                <w:lang w:eastAsia="pt-BR"/>
              </w:rPr>
            </w:pPr>
            <w:r w:rsidRPr="00C42D0B">
              <w:rPr>
                <w:rFonts w:eastAsia="Times New Roman"/>
                <w:b/>
                <w:bCs/>
                <w:color w:val="000000"/>
                <w:sz w:val="20"/>
                <w:szCs w:val="20"/>
                <w:lang w:eastAsia="pt-BR"/>
              </w:rPr>
              <w:t xml:space="preserve"> Valor </w:t>
            </w:r>
          </w:p>
        </w:tc>
      </w:tr>
      <w:tr w:rsidR="00C42D0B" w:rsidRPr="00C42D0B" w14:paraId="1FD4ADFE" w14:textId="77777777" w:rsidTr="003F2D7E">
        <w:trPr>
          <w:trHeight w:val="300"/>
        </w:trPr>
        <w:tc>
          <w:tcPr>
            <w:tcW w:w="1701" w:type="dxa"/>
            <w:tcBorders>
              <w:top w:val="nil"/>
              <w:left w:val="nil"/>
              <w:bottom w:val="single" w:sz="4" w:space="0" w:color="auto"/>
              <w:right w:val="nil"/>
            </w:tcBorders>
            <w:shd w:val="clear" w:color="000000" w:fill="FFFFFF"/>
            <w:noWrap/>
            <w:vAlign w:val="bottom"/>
            <w:hideMark/>
          </w:tcPr>
          <w:p w14:paraId="644C1C8D" w14:textId="77777777" w:rsidR="00C42D0B" w:rsidRPr="00C42D0B" w:rsidRDefault="00C42D0B" w:rsidP="00D14FEE">
            <w:pPr>
              <w:ind w:left="-77"/>
              <w:rPr>
                <w:rFonts w:eastAsia="Times New Roman"/>
                <w:color w:val="000000"/>
                <w:sz w:val="20"/>
                <w:szCs w:val="20"/>
                <w:lang w:eastAsia="pt-BR"/>
              </w:rPr>
            </w:pPr>
            <w:r w:rsidRPr="00C42D0B">
              <w:rPr>
                <w:rFonts w:eastAsia="Times New Roman"/>
                <w:color w:val="000000"/>
                <w:sz w:val="20"/>
                <w:szCs w:val="20"/>
                <w:lang w:eastAsia="pt-BR"/>
              </w:rPr>
              <w:t>Convite</w:t>
            </w:r>
          </w:p>
        </w:tc>
        <w:tc>
          <w:tcPr>
            <w:tcW w:w="2344" w:type="dxa"/>
            <w:tcBorders>
              <w:top w:val="nil"/>
              <w:left w:val="nil"/>
              <w:bottom w:val="single" w:sz="4" w:space="0" w:color="auto"/>
              <w:right w:val="nil"/>
            </w:tcBorders>
            <w:shd w:val="clear" w:color="000000" w:fill="FFFFFF"/>
            <w:noWrap/>
            <w:vAlign w:val="bottom"/>
            <w:hideMark/>
          </w:tcPr>
          <w:p w14:paraId="56F04448"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3</w:t>
            </w:r>
          </w:p>
        </w:tc>
        <w:tc>
          <w:tcPr>
            <w:tcW w:w="2126" w:type="dxa"/>
            <w:tcBorders>
              <w:top w:val="nil"/>
              <w:left w:val="nil"/>
              <w:bottom w:val="single" w:sz="4" w:space="0" w:color="auto"/>
              <w:right w:val="nil"/>
            </w:tcBorders>
            <w:shd w:val="clear" w:color="000000" w:fill="FFFFFF"/>
            <w:noWrap/>
            <w:vAlign w:val="bottom"/>
            <w:hideMark/>
          </w:tcPr>
          <w:p w14:paraId="5A78700C"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2%</w:t>
            </w:r>
          </w:p>
        </w:tc>
        <w:tc>
          <w:tcPr>
            <w:tcW w:w="1908" w:type="dxa"/>
            <w:tcBorders>
              <w:top w:val="nil"/>
              <w:left w:val="nil"/>
              <w:bottom w:val="single" w:sz="4" w:space="0" w:color="auto"/>
              <w:right w:val="nil"/>
            </w:tcBorders>
            <w:shd w:val="clear" w:color="000000" w:fill="FFFFFF"/>
            <w:noWrap/>
            <w:vAlign w:val="bottom"/>
            <w:hideMark/>
          </w:tcPr>
          <w:p w14:paraId="596F59CB"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176.080,81</w:t>
            </w:r>
          </w:p>
        </w:tc>
      </w:tr>
      <w:tr w:rsidR="00C42D0B" w:rsidRPr="00C42D0B" w14:paraId="5E1EEAA3" w14:textId="77777777" w:rsidTr="003F2D7E">
        <w:trPr>
          <w:trHeight w:val="300"/>
        </w:trPr>
        <w:tc>
          <w:tcPr>
            <w:tcW w:w="1701" w:type="dxa"/>
            <w:tcBorders>
              <w:top w:val="nil"/>
              <w:left w:val="nil"/>
              <w:bottom w:val="single" w:sz="4" w:space="0" w:color="auto"/>
              <w:right w:val="nil"/>
            </w:tcBorders>
            <w:shd w:val="clear" w:color="000000" w:fill="FFFFFF"/>
            <w:noWrap/>
            <w:vAlign w:val="bottom"/>
            <w:hideMark/>
          </w:tcPr>
          <w:p w14:paraId="3D23BCAB" w14:textId="77777777" w:rsidR="00C42D0B" w:rsidRPr="00C42D0B" w:rsidRDefault="00C42D0B" w:rsidP="00D14FEE">
            <w:pPr>
              <w:ind w:left="-77"/>
              <w:rPr>
                <w:rFonts w:eastAsia="Times New Roman"/>
                <w:color w:val="000000"/>
                <w:sz w:val="20"/>
                <w:szCs w:val="20"/>
                <w:lang w:eastAsia="pt-BR"/>
              </w:rPr>
            </w:pPr>
            <w:r w:rsidRPr="00C42D0B">
              <w:rPr>
                <w:rFonts w:eastAsia="Times New Roman"/>
                <w:color w:val="000000"/>
                <w:sz w:val="20"/>
                <w:szCs w:val="20"/>
                <w:lang w:eastAsia="pt-BR"/>
              </w:rPr>
              <w:t>Dispensa</w:t>
            </w:r>
          </w:p>
        </w:tc>
        <w:tc>
          <w:tcPr>
            <w:tcW w:w="2344" w:type="dxa"/>
            <w:tcBorders>
              <w:top w:val="nil"/>
              <w:left w:val="nil"/>
              <w:bottom w:val="single" w:sz="4" w:space="0" w:color="auto"/>
              <w:right w:val="nil"/>
            </w:tcBorders>
            <w:shd w:val="clear" w:color="000000" w:fill="FFFFFF"/>
            <w:noWrap/>
            <w:vAlign w:val="bottom"/>
            <w:hideMark/>
          </w:tcPr>
          <w:p w14:paraId="1F09CC55"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20</w:t>
            </w:r>
          </w:p>
        </w:tc>
        <w:tc>
          <w:tcPr>
            <w:tcW w:w="2126" w:type="dxa"/>
            <w:tcBorders>
              <w:top w:val="nil"/>
              <w:left w:val="nil"/>
              <w:bottom w:val="single" w:sz="4" w:space="0" w:color="auto"/>
              <w:right w:val="nil"/>
            </w:tcBorders>
            <w:shd w:val="clear" w:color="000000" w:fill="FFFFFF"/>
            <w:noWrap/>
            <w:vAlign w:val="bottom"/>
            <w:hideMark/>
          </w:tcPr>
          <w:p w14:paraId="55F0950C"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16%</w:t>
            </w:r>
          </w:p>
        </w:tc>
        <w:tc>
          <w:tcPr>
            <w:tcW w:w="1908" w:type="dxa"/>
            <w:tcBorders>
              <w:top w:val="nil"/>
              <w:left w:val="nil"/>
              <w:bottom w:val="single" w:sz="4" w:space="0" w:color="auto"/>
              <w:right w:val="nil"/>
            </w:tcBorders>
            <w:shd w:val="clear" w:color="000000" w:fill="FFFFFF"/>
            <w:noWrap/>
            <w:vAlign w:val="bottom"/>
            <w:hideMark/>
          </w:tcPr>
          <w:p w14:paraId="0992C1BB"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929.285,62</w:t>
            </w:r>
          </w:p>
        </w:tc>
      </w:tr>
      <w:tr w:rsidR="00C42D0B" w:rsidRPr="00C42D0B" w14:paraId="659620F3" w14:textId="77777777" w:rsidTr="003F2D7E">
        <w:trPr>
          <w:trHeight w:val="300"/>
        </w:trPr>
        <w:tc>
          <w:tcPr>
            <w:tcW w:w="1701" w:type="dxa"/>
            <w:tcBorders>
              <w:top w:val="nil"/>
              <w:left w:val="nil"/>
              <w:bottom w:val="single" w:sz="4" w:space="0" w:color="auto"/>
              <w:right w:val="nil"/>
            </w:tcBorders>
            <w:shd w:val="clear" w:color="000000" w:fill="FFFFFF"/>
            <w:noWrap/>
            <w:vAlign w:val="bottom"/>
            <w:hideMark/>
          </w:tcPr>
          <w:p w14:paraId="631C68E6" w14:textId="77777777" w:rsidR="00C42D0B" w:rsidRPr="00C42D0B" w:rsidRDefault="00C42D0B" w:rsidP="00D14FEE">
            <w:pPr>
              <w:ind w:left="-77"/>
              <w:rPr>
                <w:rFonts w:eastAsia="Times New Roman"/>
                <w:color w:val="000000"/>
                <w:sz w:val="20"/>
                <w:szCs w:val="20"/>
                <w:lang w:eastAsia="pt-BR"/>
              </w:rPr>
            </w:pPr>
            <w:r w:rsidRPr="00C42D0B">
              <w:rPr>
                <w:rFonts w:eastAsia="Times New Roman"/>
                <w:color w:val="000000"/>
                <w:sz w:val="20"/>
                <w:szCs w:val="20"/>
                <w:lang w:eastAsia="pt-BR"/>
              </w:rPr>
              <w:t>Inexigibilidade</w:t>
            </w:r>
          </w:p>
        </w:tc>
        <w:tc>
          <w:tcPr>
            <w:tcW w:w="2344" w:type="dxa"/>
            <w:tcBorders>
              <w:top w:val="nil"/>
              <w:left w:val="nil"/>
              <w:bottom w:val="single" w:sz="4" w:space="0" w:color="auto"/>
              <w:right w:val="nil"/>
            </w:tcBorders>
            <w:shd w:val="clear" w:color="000000" w:fill="FFFFFF"/>
            <w:noWrap/>
            <w:vAlign w:val="bottom"/>
            <w:hideMark/>
          </w:tcPr>
          <w:p w14:paraId="53F118CB"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4</w:t>
            </w:r>
          </w:p>
        </w:tc>
        <w:tc>
          <w:tcPr>
            <w:tcW w:w="2126" w:type="dxa"/>
            <w:tcBorders>
              <w:top w:val="nil"/>
              <w:left w:val="nil"/>
              <w:bottom w:val="single" w:sz="4" w:space="0" w:color="auto"/>
              <w:right w:val="nil"/>
            </w:tcBorders>
            <w:shd w:val="clear" w:color="000000" w:fill="FFFFFF"/>
            <w:noWrap/>
            <w:vAlign w:val="bottom"/>
            <w:hideMark/>
          </w:tcPr>
          <w:p w14:paraId="63510A65"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3%</w:t>
            </w:r>
          </w:p>
        </w:tc>
        <w:tc>
          <w:tcPr>
            <w:tcW w:w="1908" w:type="dxa"/>
            <w:tcBorders>
              <w:top w:val="nil"/>
              <w:left w:val="nil"/>
              <w:bottom w:val="nil"/>
              <w:right w:val="nil"/>
            </w:tcBorders>
            <w:shd w:val="clear" w:color="000000" w:fill="FFFFFF"/>
            <w:noWrap/>
            <w:vAlign w:val="bottom"/>
            <w:hideMark/>
          </w:tcPr>
          <w:p w14:paraId="3708BF0D"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39.400,00</w:t>
            </w:r>
          </w:p>
        </w:tc>
      </w:tr>
      <w:tr w:rsidR="00C42D0B" w:rsidRPr="00C42D0B" w14:paraId="724EC68F" w14:textId="77777777" w:rsidTr="003F2D7E">
        <w:trPr>
          <w:trHeight w:val="300"/>
        </w:trPr>
        <w:tc>
          <w:tcPr>
            <w:tcW w:w="1701" w:type="dxa"/>
            <w:tcBorders>
              <w:top w:val="nil"/>
              <w:left w:val="nil"/>
              <w:bottom w:val="single" w:sz="4" w:space="0" w:color="auto"/>
              <w:right w:val="nil"/>
            </w:tcBorders>
            <w:shd w:val="clear" w:color="000000" w:fill="FFFFFF"/>
            <w:noWrap/>
            <w:vAlign w:val="bottom"/>
            <w:hideMark/>
          </w:tcPr>
          <w:p w14:paraId="4B7AF234" w14:textId="77777777" w:rsidR="00C42D0B" w:rsidRPr="00C42D0B" w:rsidRDefault="00C42D0B" w:rsidP="00D14FEE">
            <w:pPr>
              <w:ind w:left="-77"/>
              <w:rPr>
                <w:rFonts w:eastAsia="Times New Roman"/>
                <w:color w:val="000000"/>
                <w:sz w:val="20"/>
                <w:szCs w:val="20"/>
                <w:lang w:eastAsia="pt-BR"/>
              </w:rPr>
            </w:pPr>
            <w:r w:rsidRPr="00C42D0B">
              <w:rPr>
                <w:rFonts w:eastAsia="Times New Roman"/>
                <w:color w:val="000000"/>
                <w:sz w:val="20"/>
                <w:szCs w:val="20"/>
                <w:lang w:eastAsia="pt-BR"/>
              </w:rPr>
              <w:t>Pregão Eletrônico</w:t>
            </w:r>
          </w:p>
        </w:tc>
        <w:tc>
          <w:tcPr>
            <w:tcW w:w="2344" w:type="dxa"/>
            <w:tcBorders>
              <w:top w:val="nil"/>
              <w:left w:val="nil"/>
              <w:bottom w:val="single" w:sz="4" w:space="0" w:color="auto"/>
              <w:right w:val="nil"/>
            </w:tcBorders>
            <w:shd w:val="clear" w:color="000000" w:fill="FFFFFF"/>
            <w:noWrap/>
            <w:vAlign w:val="bottom"/>
            <w:hideMark/>
          </w:tcPr>
          <w:p w14:paraId="46AA8C42"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3</w:t>
            </w:r>
          </w:p>
        </w:tc>
        <w:tc>
          <w:tcPr>
            <w:tcW w:w="2126" w:type="dxa"/>
            <w:tcBorders>
              <w:top w:val="nil"/>
              <w:left w:val="nil"/>
              <w:bottom w:val="single" w:sz="4" w:space="0" w:color="auto"/>
              <w:right w:val="nil"/>
            </w:tcBorders>
            <w:shd w:val="clear" w:color="000000" w:fill="FFFFFF"/>
            <w:noWrap/>
            <w:vAlign w:val="bottom"/>
            <w:hideMark/>
          </w:tcPr>
          <w:p w14:paraId="17D391E0"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2%</w:t>
            </w:r>
          </w:p>
        </w:tc>
        <w:tc>
          <w:tcPr>
            <w:tcW w:w="1908" w:type="dxa"/>
            <w:tcBorders>
              <w:top w:val="single" w:sz="4" w:space="0" w:color="auto"/>
              <w:left w:val="nil"/>
              <w:bottom w:val="nil"/>
              <w:right w:val="nil"/>
            </w:tcBorders>
            <w:shd w:val="clear" w:color="000000" w:fill="FFFFFF"/>
            <w:noWrap/>
            <w:vAlign w:val="bottom"/>
            <w:hideMark/>
          </w:tcPr>
          <w:p w14:paraId="2A90064F"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1.022.839,98</w:t>
            </w:r>
          </w:p>
        </w:tc>
      </w:tr>
      <w:tr w:rsidR="00C42D0B" w:rsidRPr="00C42D0B" w14:paraId="6E5E512E" w14:textId="77777777" w:rsidTr="003000B4">
        <w:trPr>
          <w:trHeight w:val="300"/>
        </w:trPr>
        <w:tc>
          <w:tcPr>
            <w:tcW w:w="1701" w:type="dxa"/>
            <w:tcBorders>
              <w:top w:val="nil"/>
              <w:left w:val="nil"/>
              <w:bottom w:val="single" w:sz="4" w:space="0" w:color="auto"/>
              <w:right w:val="nil"/>
            </w:tcBorders>
            <w:shd w:val="clear" w:color="000000" w:fill="FFFFFF"/>
            <w:noWrap/>
            <w:vAlign w:val="bottom"/>
            <w:hideMark/>
          </w:tcPr>
          <w:p w14:paraId="53244F30" w14:textId="77777777" w:rsidR="00C42D0B" w:rsidRPr="00C42D0B" w:rsidRDefault="00C42D0B" w:rsidP="00D14FEE">
            <w:pPr>
              <w:ind w:left="-77"/>
              <w:rPr>
                <w:rFonts w:eastAsia="Times New Roman"/>
                <w:color w:val="000000"/>
                <w:sz w:val="20"/>
                <w:szCs w:val="20"/>
                <w:lang w:eastAsia="pt-BR"/>
              </w:rPr>
            </w:pPr>
            <w:r w:rsidRPr="00C42D0B">
              <w:rPr>
                <w:rFonts w:eastAsia="Times New Roman"/>
                <w:color w:val="000000"/>
                <w:sz w:val="20"/>
                <w:szCs w:val="20"/>
                <w:lang w:eastAsia="pt-BR"/>
              </w:rPr>
              <w:t>Pregão Presencial</w:t>
            </w:r>
          </w:p>
        </w:tc>
        <w:tc>
          <w:tcPr>
            <w:tcW w:w="2344" w:type="dxa"/>
            <w:tcBorders>
              <w:top w:val="nil"/>
              <w:left w:val="nil"/>
              <w:bottom w:val="single" w:sz="4" w:space="0" w:color="auto"/>
              <w:right w:val="nil"/>
            </w:tcBorders>
            <w:shd w:val="clear" w:color="000000" w:fill="FFFFFF"/>
            <w:noWrap/>
            <w:vAlign w:val="bottom"/>
            <w:hideMark/>
          </w:tcPr>
          <w:p w14:paraId="32FECC5D"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83</w:t>
            </w:r>
          </w:p>
        </w:tc>
        <w:tc>
          <w:tcPr>
            <w:tcW w:w="2126" w:type="dxa"/>
            <w:tcBorders>
              <w:top w:val="nil"/>
              <w:left w:val="nil"/>
              <w:bottom w:val="single" w:sz="4" w:space="0" w:color="auto"/>
              <w:right w:val="nil"/>
            </w:tcBorders>
            <w:shd w:val="clear" w:color="000000" w:fill="FFFFFF"/>
            <w:noWrap/>
            <w:vAlign w:val="bottom"/>
            <w:hideMark/>
          </w:tcPr>
          <w:p w14:paraId="73F2E326"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68%</w:t>
            </w:r>
          </w:p>
        </w:tc>
        <w:tc>
          <w:tcPr>
            <w:tcW w:w="1908" w:type="dxa"/>
            <w:tcBorders>
              <w:top w:val="single" w:sz="4" w:space="0" w:color="auto"/>
              <w:left w:val="nil"/>
              <w:bottom w:val="single" w:sz="4" w:space="0" w:color="auto"/>
              <w:right w:val="nil"/>
            </w:tcBorders>
            <w:shd w:val="clear" w:color="000000" w:fill="FFFFFF"/>
            <w:noWrap/>
            <w:vAlign w:val="bottom"/>
            <w:hideMark/>
          </w:tcPr>
          <w:p w14:paraId="48012110"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14.856.909,55</w:t>
            </w:r>
          </w:p>
        </w:tc>
      </w:tr>
      <w:tr w:rsidR="00C42D0B" w:rsidRPr="00C42D0B" w14:paraId="5D1A5C0C" w14:textId="77777777" w:rsidTr="003000B4">
        <w:trPr>
          <w:trHeight w:val="300"/>
        </w:trPr>
        <w:tc>
          <w:tcPr>
            <w:tcW w:w="1701" w:type="dxa"/>
            <w:tcBorders>
              <w:top w:val="nil"/>
              <w:left w:val="nil"/>
              <w:bottom w:val="single" w:sz="4" w:space="0" w:color="auto"/>
              <w:right w:val="nil"/>
            </w:tcBorders>
            <w:shd w:val="clear" w:color="000000" w:fill="FFFFFF"/>
            <w:noWrap/>
            <w:vAlign w:val="bottom"/>
            <w:hideMark/>
          </w:tcPr>
          <w:p w14:paraId="335D40E8" w14:textId="77777777" w:rsidR="00C42D0B" w:rsidRPr="00C42D0B" w:rsidRDefault="00C42D0B" w:rsidP="00D14FEE">
            <w:pPr>
              <w:ind w:left="-77"/>
              <w:rPr>
                <w:rFonts w:eastAsia="Times New Roman"/>
                <w:color w:val="000000"/>
                <w:sz w:val="20"/>
                <w:szCs w:val="20"/>
                <w:lang w:eastAsia="pt-BR"/>
              </w:rPr>
            </w:pPr>
            <w:r w:rsidRPr="00C42D0B">
              <w:rPr>
                <w:rFonts w:eastAsia="Times New Roman"/>
                <w:color w:val="000000"/>
                <w:sz w:val="20"/>
                <w:szCs w:val="20"/>
                <w:lang w:eastAsia="pt-BR"/>
              </w:rPr>
              <w:t>Tomada de Preços</w:t>
            </w:r>
          </w:p>
        </w:tc>
        <w:tc>
          <w:tcPr>
            <w:tcW w:w="2344" w:type="dxa"/>
            <w:tcBorders>
              <w:top w:val="nil"/>
              <w:left w:val="nil"/>
              <w:bottom w:val="single" w:sz="4" w:space="0" w:color="auto"/>
              <w:right w:val="nil"/>
            </w:tcBorders>
            <w:shd w:val="clear" w:color="000000" w:fill="FFFFFF"/>
            <w:noWrap/>
            <w:vAlign w:val="bottom"/>
            <w:hideMark/>
          </w:tcPr>
          <w:p w14:paraId="1B8FCD0A"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9</w:t>
            </w:r>
          </w:p>
        </w:tc>
        <w:tc>
          <w:tcPr>
            <w:tcW w:w="2126" w:type="dxa"/>
            <w:tcBorders>
              <w:top w:val="nil"/>
              <w:left w:val="nil"/>
              <w:bottom w:val="single" w:sz="4" w:space="0" w:color="auto"/>
              <w:right w:val="nil"/>
            </w:tcBorders>
            <w:shd w:val="clear" w:color="000000" w:fill="FFFFFF"/>
            <w:noWrap/>
            <w:vAlign w:val="bottom"/>
            <w:hideMark/>
          </w:tcPr>
          <w:p w14:paraId="76B9BA6B"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7%</w:t>
            </w:r>
          </w:p>
        </w:tc>
        <w:tc>
          <w:tcPr>
            <w:tcW w:w="1908" w:type="dxa"/>
            <w:tcBorders>
              <w:top w:val="single" w:sz="4" w:space="0" w:color="auto"/>
              <w:left w:val="nil"/>
              <w:bottom w:val="single" w:sz="4" w:space="0" w:color="auto"/>
              <w:right w:val="nil"/>
            </w:tcBorders>
            <w:shd w:val="clear" w:color="000000" w:fill="FFFFFF"/>
            <w:noWrap/>
            <w:vAlign w:val="bottom"/>
            <w:hideMark/>
          </w:tcPr>
          <w:p w14:paraId="4E318724"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2.697.566,15</w:t>
            </w:r>
          </w:p>
        </w:tc>
      </w:tr>
      <w:tr w:rsidR="00C42D0B" w:rsidRPr="00C42D0B" w14:paraId="366036EC" w14:textId="77777777" w:rsidTr="003000B4">
        <w:trPr>
          <w:trHeight w:val="300"/>
        </w:trPr>
        <w:tc>
          <w:tcPr>
            <w:tcW w:w="1701" w:type="dxa"/>
            <w:tcBorders>
              <w:top w:val="single" w:sz="4" w:space="0" w:color="auto"/>
              <w:left w:val="nil"/>
              <w:bottom w:val="single" w:sz="4" w:space="0" w:color="auto"/>
              <w:right w:val="nil"/>
            </w:tcBorders>
            <w:shd w:val="clear" w:color="000000" w:fill="FFFFFF"/>
            <w:noWrap/>
            <w:vAlign w:val="bottom"/>
            <w:hideMark/>
          </w:tcPr>
          <w:p w14:paraId="574A2EBF" w14:textId="77777777" w:rsidR="00C42D0B" w:rsidRPr="00C42D0B" w:rsidRDefault="00C42D0B" w:rsidP="00D14FEE">
            <w:pPr>
              <w:ind w:left="-77"/>
              <w:rPr>
                <w:rFonts w:eastAsia="Times New Roman"/>
                <w:b/>
                <w:bCs/>
                <w:color w:val="000000"/>
                <w:sz w:val="20"/>
                <w:szCs w:val="20"/>
                <w:lang w:eastAsia="pt-BR"/>
              </w:rPr>
            </w:pPr>
            <w:r w:rsidRPr="00C42D0B">
              <w:rPr>
                <w:rFonts w:eastAsia="Times New Roman"/>
                <w:b/>
                <w:bCs/>
                <w:color w:val="000000"/>
                <w:sz w:val="20"/>
                <w:szCs w:val="20"/>
                <w:lang w:eastAsia="pt-BR"/>
              </w:rPr>
              <w:t>Total</w:t>
            </w:r>
          </w:p>
        </w:tc>
        <w:tc>
          <w:tcPr>
            <w:tcW w:w="2344" w:type="dxa"/>
            <w:tcBorders>
              <w:top w:val="single" w:sz="4" w:space="0" w:color="auto"/>
              <w:left w:val="nil"/>
              <w:bottom w:val="single" w:sz="4" w:space="0" w:color="auto"/>
              <w:right w:val="nil"/>
            </w:tcBorders>
            <w:shd w:val="clear" w:color="auto" w:fill="auto"/>
            <w:noWrap/>
            <w:vAlign w:val="bottom"/>
            <w:hideMark/>
          </w:tcPr>
          <w:p w14:paraId="53F02EED" w14:textId="77777777" w:rsidR="00C42D0B" w:rsidRPr="00C42D0B" w:rsidRDefault="00C42D0B" w:rsidP="00C42D0B">
            <w:pPr>
              <w:jc w:val="center"/>
              <w:rPr>
                <w:rFonts w:eastAsia="Times New Roman"/>
                <w:b/>
                <w:bCs/>
                <w:color w:val="000000"/>
                <w:sz w:val="20"/>
                <w:szCs w:val="20"/>
                <w:lang w:eastAsia="pt-BR"/>
              </w:rPr>
            </w:pPr>
            <w:r w:rsidRPr="00C42D0B">
              <w:rPr>
                <w:rFonts w:eastAsia="Times New Roman"/>
                <w:b/>
                <w:bCs/>
                <w:color w:val="000000"/>
                <w:sz w:val="20"/>
                <w:szCs w:val="20"/>
                <w:lang w:eastAsia="pt-BR"/>
              </w:rPr>
              <w:t>122</w:t>
            </w:r>
          </w:p>
        </w:tc>
        <w:tc>
          <w:tcPr>
            <w:tcW w:w="2126" w:type="dxa"/>
            <w:tcBorders>
              <w:top w:val="single" w:sz="4" w:space="0" w:color="auto"/>
              <w:left w:val="nil"/>
              <w:bottom w:val="single" w:sz="4" w:space="0" w:color="auto"/>
              <w:right w:val="nil"/>
            </w:tcBorders>
            <w:shd w:val="clear" w:color="000000" w:fill="FFFFFF"/>
            <w:noWrap/>
            <w:vAlign w:val="bottom"/>
            <w:hideMark/>
          </w:tcPr>
          <w:p w14:paraId="40451642"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100%</w:t>
            </w:r>
          </w:p>
        </w:tc>
        <w:tc>
          <w:tcPr>
            <w:tcW w:w="1908" w:type="dxa"/>
            <w:tcBorders>
              <w:top w:val="single" w:sz="4" w:space="0" w:color="auto"/>
              <w:left w:val="nil"/>
              <w:bottom w:val="single" w:sz="4" w:space="0" w:color="auto"/>
              <w:right w:val="nil"/>
            </w:tcBorders>
            <w:shd w:val="clear" w:color="auto" w:fill="auto"/>
            <w:noWrap/>
            <w:vAlign w:val="bottom"/>
            <w:hideMark/>
          </w:tcPr>
          <w:p w14:paraId="3573CBDA" w14:textId="77777777" w:rsidR="00C42D0B" w:rsidRPr="00C42D0B" w:rsidRDefault="00C42D0B" w:rsidP="00C42D0B">
            <w:pPr>
              <w:jc w:val="center"/>
              <w:rPr>
                <w:rFonts w:eastAsia="Times New Roman"/>
                <w:b/>
                <w:bCs/>
                <w:color w:val="000000"/>
                <w:sz w:val="20"/>
                <w:szCs w:val="20"/>
                <w:lang w:eastAsia="pt-BR"/>
              </w:rPr>
            </w:pPr>
            <w:r w:rsidRPr="00C42D0B">
              <w:rPr>
                <w:rFonts w:eastAsia="Times New Roman"/>
                <w:b/>
                <w:bCs/>
                <w:color w:val="000000"/>
                <w:sz w:val="20"/>
                <w:szCs w:val="20"/>
                <w:lang w:eastAsia="pt-BR"/>
              </w:rPr>
              <w:t>19.722.082,11</w:t>
            </w:r>
          </w:p>
        </w:tc>
      </w:tr>
    </w:tbl>
    <w:p w14:paraId="6D5A48C3" w14:textId="729609DD" w:rsidR="003F2D7E" w:rsidRDefault="003F2D7E" w:rsidP="003000B4">
      <w:pPr>
        <w:spacing w:after="160" w:line="259" w:lineRule="auto"/>
        <w:ind w:left="426"/>
        <w:rPr>
          <w:sz w:val="20"/>
          <w:szCs w:val="20"/>
        </w:rPr>
      </w:pPr>
      <w:r>
        <w:rPr>
          <w:sz w:val="20"/>
          <w:szCs w:val="20"/>
        </w:rPr>
        <w:t>Fonte: Dados da pesquisa (2021)</w:t>
      </w:r>
    </w:p>
    <w:p w14:paraId="0105533B" w14:textId="77777777" w:rsidR="003000B4" w:rsidRDefault="003000B4" w:rsidP="00C8633B">
      <w:pPr>
        <w:spacing w:after="160"/>
        <w:ind w:left="426"/>
        <w:rPr>
          <w:sz w:val="20"/>
          <w:szCs w:val="20"/>
        </w:rPr>
      </w:pPr>
    </w:p>
    <w:p w14:paraId="0A24D0C6" w14:textId="60754A46" w:rsidR="003F2D7E" w:rsidRDefault="007C575A" w:rsidP="006B4F46">
      <w:pPr>
        <w:pStyle w:val="UnidaviTexto-Espao15"/>
      </w:pPr>
      <w:r>
        <w:t>Em seguida tiveram 20 licitações dispensadas, que acontecem quando o processo licitatório é facultativo pela administração pública, obedecendo as regras descritas em lei. Logo após ficaram as licitaçõ</w:t>
      </w:r>
      <w:r w:rsidR="0008516D">
        <w:t>es para tomada de preços com 9 no total</w:t>
      </w:r>
      <w:r>
        <w:t>. Realizou-se ainda 4 licitações pela inexigibilidade de licitação. Ficaram empatadas as modalidades convite e pregão eletrônico com 3 licitações cada.</w:t>
      </w:r>
    </w:p>
    <w:p w14:paraId="3C821C58" w14:textId="56F71767" w:rsidR="003F2D7E" w:rsidRDefault="003F2D7E" w:rsidP="007C575A">
      <w:pPr>
        <w:pStyle w:val="UnidaviTexto-Espao15"/>
      </w:pPr>
    </w:p>
    <w:p w14:paraId="6049A95A" w14:textId="382F43BF" w:rsidR="00C8633B" w:rsidRDefault="00C8633B" w:rsidP="007C575A">
      <w:pPr>
        <w:pStyle w:val="UnidaviTexto-Espao15"/>
      </w:pPr>
    </w:p>
    <w:p w14:paraId="0846BD59" w14:textId="0497765B" w:rsidR="00C8633B" w:rsidRDefault="00C8633B" w:rsidP="007C575A">
      <w:pPr>
        <w:pStyle w:val="UnidaviTexto-Espao15"/>
      </w:pPr>
    </w:p>
    <w:p w14:paraId="41A436EF" w14:textId="43DB90D8" w:rsidR="00C8633B" w:rsidRDefault="00C8633B" w:rsidP="007C575A">
      <w:pPr>
        <w:pStyle w:val="UnidaviTexto-Espao15"/>
      </w:pPr>
    </w:p>
    <w:p w14:paraId="59507E91" w14:textId="23D358C5" w:rsidR="00C8633B" w:rsidRDefault="00C8633B" w:rsidP="007C575A">
      <w:pPr>
        <w:pStyle w:val="UnidaviTexto-Espao15"/>
      </w:pPr>
    </w:p>
    <w:p w14:paraId="7E013BFA" w14:textId="4F469887" w:rsidR="00C8633B" w:rsidRDefault="00C8633B" w:rsidP="007C575A">
      <w:pPr>
        <w:pStyle w:val="UnidaviTexto-Espao15"/>
      </w:pPr>
    </w:p>
    <w:p w14:paraId="625658DE" w14:textId="76625874" w:rsidR="00C8633B" w:rsidRDefault="00C8633B" w:rsidP="007C575A">
      <w:pPr>
        <w:pStyle w:val="UnidaviTexto-Espao15"/>
      </w:pPr>
    </w:p>
    <w:p w14:paraId="35E86476" w14:textId="77777777" w:rsidR="00C8633B" w:rsidRDefault="00C8633B" w:rsidP="007C575A">
      <w:pPr>
        <w:pStyle w:val="UnidaviTexto-Espao15"/>
      </w:pPr>
    </w:p>
    <w:p w14:paraId="4D8DDBC2" w14:textId="329D6276" w:rsidR="003F2D7E" w:rsidRPr="003F2D7E" w:rsidRDefault="003F2D7E" w:rsidP="003F2D7E">
      <w:pPr>
        <w:pStyle w:val="UnidaviTexto-Espao15"/>
        <w:spacing w:line="240" w:lineRule="auto"/>
        <w:ind w:left="284" w:firstLine="0"/>
        <w:contextualSpacing/>
        <w:rPr>
          <w:b/>
          <w:sz w:val="20"/>
        </w:rPr>
      </w:pPr>
      <w:r w:rsidRPr="007F2776">
        <w:rPr>
          <w:b/>
          <w:sz w:val="20"/>
        </w:rPr>
        <w:lastRenderedPageBreak/>
        <w:t>Gr</w:t>
      </w:r>
      <w:r>
        <w:rPr>
          <w:b/>
          <w:sz w:val="20"/>
        </w:rPr>
        <w:t>áfico 17</w:t>
      </w:r>
      <w:r w:rsidRPr="007F2776">
        <w:rPr>
          <w:b/>
          <w:sz w:val="20"/>
        </w:rPr>
        <w:t xml:space="preserve"> – </w:t>
      </w:r>
      <w:r w:rsidR="00EB65FB" w:rsidRPr="00776D33">
        <w:rPr>
          <w:b/>
          <w:bCs/>
          <w:sz w:val="20"/>
        </w:rPr>
        <w:t>Percentual de cada mod</w:t>
      </w:r>
      <w:r w:rsidR="003000B4">
        <w:rPr>
          <w:b/>
          <w:bCs/>
          <w:sz w:val="20"/>
        </w:rPr>
        <w:t>alidade de licitação no ano 2019</w:t>
      </w:r>
    </w:p>
    <w:p w14:paraId="7DB24D24" w14:textId="713829DF" w:rsidR="007C575A" w:rsidRDefault="00A20485" w:rsidP="00CE5F9C">
      <w:pPr>
        <w:pStyle w:val="UnidaviTexto-Espao15"/>
        <w:tabs>
          <w:tab w:val="left" w:pos="8505"/>
          <w:tab w:val="left" w:pos="8789"/>
        </w:tabs>
        <w:spacing w:line="240" w:lineRule="auto"/>
        <w:ind w:left="284" w:right="283" w:firstLine="0"/>
      </w:pPr>
      <w:r>
        <w:rPr>
          <w:noProof/>
        </w:rPr>
        <w:drawing>
          <wp:inline distT="0" distB="0" distL="0" distR="0" wp14:anchorId="12AB3398" wp14:editId="5566F2D5">
            <wp:extent cx="5253486" cy="3735070"/>
            <wp:effectExtent l="0" t="0" r="4445" b="17780"/>
            <wp:docPr id="201" name="Gráfico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2A646B" w14:textId="251F7E88" w:rsidR="008673C2" w:rsidRDefault="003F2D7E" w:rsidP="008673C2">
      <w:pPr>
        <w:pStyle w:val="UnidaviTexto-Espao15"/>
        <w:spacing w:line="240" w:lineRule="auto"/>
        <w:ind w:left="284" w:firstLine="0"/>
        <w:contextualSpacing/>
        <w:rPr>
          <w:sz w:val="20"/>
        </w:rPr>
      </w:pPr>
      <w:r>
        <w:rPr>
          <w:sz w:val="20"/>
        </w:rPr>
        <w:t>Fonte: Dados da pesquisa (2021)</w:t>
      </w:r>
    </w:p>
    <w:p w14:paraId="4EDB63E6" w14:textId="31A3EEDA" w:rsidR="007C575A" w:rsidRDefault="007C575A" w:rsidP="00916ED5">
      <w:pPr>
        <w:pStyle w:val="UnidaviTexto-Espao15"/>
      </w:pPr>
    </w:p>
    <w:p w14:paraId="71A6FB47" w14:textId="1945B3A5" w:rsidR="008673C2" w:rsidRDefault="008673C2" w:rsidP="008673C2">
      <w:pPr>
        <w:pStyle w:val="UnidaviTexto-Espao15"/>
      </w:pPr>
      <w:r>
        <w:t xml:space="preserve">Em relação aos percentuais de participação, </w:t>
      </w:r>
      <w:r w:rsidR="003000B4">
        <w:t xml:space="preserve">o Gráfico 17 aponta que </w:t>
      </w:r>
      <w:r>
        <w:t>cerca de 68% das licitações foram realizadas através do pregão presencial</w:t>
      </w:r>
      <w:r w:rsidR="003000B4">
        <w:t xml:space="preserve"> no ano de 2018</w:t>
      </w:r>
      <w:r>
        <w:t>.</w:t>
      </w:r>
    </w:p>
    <w:p w14:paraId="2E02D5D8" w14:textId="250DC442" w:rsidR="008673C2" w:rsidRDefault="008673C2" w:rsidP="008673C2">
      <w:pPr>
        <w:pStyle w:val="UnidaviTexto-Espao15"/>
      </w:pPr>
      <w:r>
        <w:t xml:space="preserve">No ano de 2019 nas 122 licitações homologadas, </w:t>
      </w:r>
      <w:r w:rsidR="003000B4">
        <w:t xml:space="preserve">de acordo com a Tabela 13 </w:t>
      </w:r>
      <w:r>
        <w:t>identificou-se 321 participações de empresas, onde 103 dessas participações foram de empresas do município de Taió, 72 foram de empre</w:t>
      </w:r>
      <w:r w:rsidR="00C55881">
        <w:t>sas do Alto Vale do Itajaí e 146</w:t>
      </w:r>
      <w:r>
        <w:t xml:space="preserve"> foram de empresas de fora do Alto Vale do Itajaí.</w:t>
      </w:r>
    </w:p>
    <w:p w14:paraId="790EFEED" w14:textId="77777777" w:rsidR="008673C2" w:rsidRDefault="008673C2" w:rsidP="003000B4">
      <w:pPr>
        <w:pStyle w:val="UnidaviTexto-Espao15"/>
        <w:spacing w:line="240" w:lineRule="auto"/>
      </w:pPr>
    </w:p>
    <w:p w14:paraId="404BC262" w14:textId="49DEFEF2" w:rsidR="00336F6D" w:rsidRPr="00EB65FB" w:rsidRDefault="00C42D0B" w:rsidP="00EB65FB">
      <w:pPr>
        <w:pStyle w:val="UnidaviTexto-Espao15"/>
        <w:spacing w:line="240" w:lineRule="auto"/>
        <w:ind w:left="284" w:firstLine="0"/>
        <w:rPr>
          <w:b/>
          <w:sz w:val="20"/>
          <w:szCs w:val="20"/>
        </w:rPr>
      </w:pPr>
      <w:r w:rsidRPr="00EB65FB">
        <w:rPr>
          <w:b/>
          <w:sz w:val="20"/>
          <w:szCs w:val="20"/>
        </w:rPr>
        <w:t>Tabela 13 – Empresas participantes/Empresas vencedoras no ano 2019</w:t>
      </w:r>
    </w:p>
    <w:tbl>
      <w:tblPr>
        <w:tblW w:w="8221" w:type="dxa"/>
        <w:tblInd w:w="284" w:type="dxa"/>
        <w:tblCellMar>
          <w:left w:w="70" w:type="dxa"/>
          <w:right w:w="70" w:type="dxa"/>
        </w:tblCellMar>
        <w:tblLook w:val="04A0" w:firstRow="1" w:lastRow="0" w:firstColumn="1" w:lastColumn="0" w:noHBand="0" w:noVBand="1"/>
      </w:tblPr>
      <w:tblGrid>
        <w:gridCol w:w="1700"/>
        <w:gridCol w:w="993"/>
        <w:gridCol w:w="709"/>
        <w:gridCol w:w="2126"/>
        <w:gridCol w:w="1418"/>
        <w:gridCol w:w="1275"/>
      </w:tblGrid>
      <w:tr w:rsidR="00336F6D" w:rsidRPr="00336F6D" w14:paraId="23F3AD2B" w14:textId="77777777" w:rsidTr="00EB65FB">
        <w:trPr>
          <w:trHeight w:val="300"/>
        </w:trPr>
        <w:tc>
          <w:tcPr>
            <w:tcW w:w="1700" w:type="dxa"/>
            <w:tcBorders>
              <w:top w:val="single" w:sz="4" w:space="0" w:color="auto"/>
              <w:left w:val="nil"/>
              <w:bottom w:val="single" w:sz="4" w:space="0" w:color="auto"/>
              <w:right w:val="nil"/>
            </w:tcBorders>
            <w:shd w:val="clear" w:color="000000" w:fill="FFFFFF"/>
            <w:noWrap/>
            <w:vAlign w:val="bottom"/>
            <w:hideMark/>
          </w:tcPr>
          <w:p w14:paraId="1056CCEC" w14:textId="77777777" w:rsidR="00336F6D" w:rsidRPr="00336F6D" w:rsidRDefault="00336F6D" w:rsidP="00D14FEE">
            <w:pPr>
              <w:ind w:left="-69"/>
              <w:rPr>
                <w:rFonts w:eastAsia="Times New Roman"/>
                <w:b/>
                <w:bCs/>
                <w:color w:val="000000"/>
                <w:sz w:val="20"/>
                <w:szCs w:val="20"/>
                <w:lang w:eastAsia="pt-BR"/>
              </w:rPr>
            </w:pPr>
            <w:r w:rsidRPr="00336F6D">
              <w:rPr>
                <w:rFonts w:eastAsia="Times New Roman"/>
                <w:b/>
                <w:bCs/>
                <w:color w:val="000000"/>
                <w:sz w:val="20"/>
                <w:szCs w:val="20"/>
                <w:lang w:eastAsia="pt-BR"/>
              </w:rPr>
              <w:t xml:space="preserve">Participações </w:t>
            </w:r>
          </w:p>
        </w:tc>
        <w:tc>
          <w:tcPr>
            <w:tcW w:w="993" w:type="dxa"/>
            <w:tcBorders>
              <w:top w:val="single" w:sz="4" w:space="0" w:color="auto"/>
              <w:left w:val="nil"/>
              <w:bottom w:val="single" w:sz="4" w:space="0" w:color="auto"/>
              <w:right w:val="nil"/>
            </w:tcBorders>
            <w:shd w:val="clear" w:color="000000" w:fill="FFFFFF"/>
            <w:noWrap/>
            <w:vAlign w:val="bottom"/>
            <w:hideMark/>
          </w:tcPr>
          <w:p w14:paraId="6D004542" w14:textId="77777777" w:rsidR="00336F6D" w:rsidRPr="00336F6D" w:rsidRDefault="00336F6D" w:rsidP="00336F6D">
            <w:pPr>
              <w:jc w:val="center"/>
              <w:rPr>
                <w:rFonts w:eastAsia="Times New Roman"/>
                <w:b/>
                <w:bCs/>
                <w:color w:val="000000"/>
                <w:sz w:val="20"/>
                <w:szCs w:val="20"/>
                <w:lang w:eastAsia="pt-BR"/>
              </w:rPr>
            </w:pPr>
            <w:r w:rsidRPr="00336F6D">
              <w:rPr>
                <w:rFonts w:eastAsia="Times New Roman"/>
                <w:b/>
                <w:bCs/>
                <w:color w:val="000000"/>
                <w:sz w:val="20"/>
                <w:szCs w:val="20"/>
                <w:lang w:eastAsia="pt-BR"/>
              </w:rPr>
              <w:t>Total de empresas</w:t>
            </w:r>
          </w:p>
        </w:tc>
        <w:tc>
          <w:tcPr>
            <w:tcW w:w="709" w:type="dxa"/>
            <w:tcBorders>
              <w:top w:val="single" w:sz="4" w:space="0" w:color="auto"/>
              <w:left w:val="nil"/>
              <w:bottom w:val="single" w:sz="4" w:space="0" w:color="auto"/>
              <w:right w:val="nil"/>
            </w:tcBorders>
            <w:shd w:val="clear" w:color="000000" w:fill="FFFFFF"/>
            <w:noWrap/>
            <w:vAlign w:val="bottom"/>
            <w:hideMark/>
          </w:tcPr>
          <w:p w14:paraId="3E6DF8C7" w14:textId="77777777" w:rsidR="00336F6D" w:rsidRPr="00336F6D" w:rsidRDefault="00336F6D" w:rsidP="00336F6D">
            <w:pPr>
              <w:jc w:val="center"/>
              <w:rPr>
                <w:rFonts w:eastAsia="Times New Roman"/>
                <w:b/>
                <w:bCs/>
                <w:color w:val="000000"/>
                <w:sz w:val="20"/>
                <w:szCs w:val="20"/>
                <w:lang w:eastAsia="pt-BR"/>
              </w:rPr>
            </w:pPr>
            <w:r w:rsidRPr="00336F6D">
              <w:rPr>
                <w:rFonts w:eastAsia="Times New Roman"/>
                <w:b/>
                <w:bCs/>
                <w:color w:val="000000"/>
                <w:sz w:val="20"/>
                <w:szCs w:val="20"/>
                <w:lang w:eastAsia="pt-BR"/>
              </w:rPr>
              <w:t>%</w:t>
            </w:r>
          </w:p>
        </w:tc>
        <w:tc>
          <w:tcPr>
            <w:tcW w:w="2126" w:type="dxa"/>
            <w:tcBorders>
              <w:top w:val="single" w:sz="4" w:space="0" w:color="auto"/>
              <w:left w:val="nil"/>
              <w:bottom w:val="single" w:sz="4" w:space="0" w:color="auto"/>
              <w:right w:val="nil"/>
            </w:tcBorders>
            <w:shd w:val="clear" w:color="000000" w:fill="FFFFFF"/>
            <w:noWrap/>
            <w:vAlign w:val="bottom"/>
            <w:hideMark/>
          </w:tcPr>
          <w:p w14:paraId="1BEDB141" w14:textId="77777777" w:rsidR="00336F6D" w:rsidRPr="00336F6D" w:rsidRDefault="00336F6D" w:rsidP="00336F6D">
            <w:pPr>
              <w:jc w:val="center"/>
              <w:rPr>
                <w:rFonts w:eastAsia="Times New Roman"/>
                <w:b/>
                <w:bCs/>
                <w:color w:val="000000"/>
                <w:sz w:val="20"/>
                <w:szCs w:val="20"/>
                <w:lang w:eastAsia="pt-BR"/>
              </w:rPr>
            </w:pPr>
            <w:r w:rsidRPr="00336F6D">
              <w:rPr>
                <w:rFonts w:eastAsia="Times New Roman"/>
                <w:b/>
                <w:bCs/>
                <w:color w:val="000000"/>
                <w:sz w:val="20"/>
                <w:szCs w:val="20"/>
                <w:lang w:eastAsia="pt-BR"/>
              </w:rPr>
              <w:t>Vencedoras</w:t>
            </w:r>
          </w:p>
        </w:tc>
        <w:tc>
          <w:tcPr>
            <w:tcW w:w="1418" w:type="dxa"/>
            <w:tcBorders>
              <w:top w:val="single" w:sz="4" w:space="0" w:color="auto"/>
              <w:left w:val="nil"/>
              <w:bottom w:val="single" w:sz="4" w:space="0" w:color="auto"/>
              <w:right w:val="nil"/>
            </w:tcBorders>
            <w:shd w:val="clear" w:color="000000" w:fill="FFFFFF"/>
            <w:noWrap/>
            <w:vAlign w:val="bottom"/>
            <w:hideMark/>
          </w:tcPr>
          <w:p w14:paraId="08B5BE9E" w14:textId="77777777" w:rsidR="00336F6D" w:rsidRPr="00336F6D" w:rsidRDefault="00336F6D" w:rsidP="00336F6D">
            <w:pPr>
              <w:jc w:val="center"/>
              <w:rPr>
                <w:rFonts w:eastAsia="Times New Roman"/>
                <w:b/>
                <w:bCs/>
                <w:color w:val="000000"/>
                <w:sz w:val="20"/>
                <w:szCs w:val="20"/>
                <w:lang w:eastAsia="pt-BR"/>
              </w:rPr>
            </w:pPr>
            <w:r w:rsidRPr="00336F6D">
              <w:rPr>
                <w:rFonts w:eastAsia="Times New Roman"/>
                <w:b/>
                <w:bCs/>
                <w:color w:val="000000"/>
                <w:sz w:val="20"/>
                <w:szCs w:val="20"/>
                <w:lang w:eastAsia="pt-BR"/>
              </w:rPr>
              <w:t>Total de empresas</w:t>
            </w:r>
          </w:p>
        </w:tc>
        <w:tc>
          <w:tcPr>
            <w:tcW w:w="1275" w:type="dxa"/>
            <w:tcBorders>
              <w:top w:val="single" w:sz="4" w:space="0" w:color="auto"/>
              <w:left w:val="nil"/>
              <w:bottom w:val="single" w:sz="4" w:space="0" w:color="auto"/>
              <w:right w:val="nil"/>
            </w:tcBorders>
            <w:shd w:val="clear" w:color="000000" w:fill="FFFFFF"/>
            <w:noWrap/>
            <w:vAlign w:val="bottom"/>
            <w:hideMark/>
          </w:tcPr>
          <w:p w14:paraId="3F5E691F" w14:textId="77777777" w:rsidR="00336F6D" w:rsidRPr="00336F6D" w:rsidRDefault="00336F6D" w:rsidP="00336F6D">
            <w:pPr>
              <w:jc w:val="center"/>
              <w:rPr>
                <w:rFonts w:eastAsia="Times New Roman"/>
                <w:b/>
                <w:bCs/>
                <w:color w:val="000000"/>
                <w:sz w:val="20"/>
                <w:szCs w:val="20"/>
                <w:lang w:eastAsia="pt-BR"/>
              </w:rPr>
            </w:pPr>
            <w:r w:rsidRPr="00336F6D">
              <w:rPr>
                <w:rFonts w:eastAsia="Times New Roman"/>
                <w:b/>
                <w:bCs/>
                <w:color w:val="000000"/>
                <w:sz w:val="20"/>
                <w:szCs w:val="20"/>
                <w:lang w:eastAsia="pt-BR"/>
              </w:rPr>
              <w:t>%</w:t>
            </w:r>
          </w:p>
        </w:tc>
      </w:tr>
      <w:tr w:rsidR="00336F6D" w:rsidRPr="00336F6D" w14:paraId="160EAE95" w14:textId="77777777" w:rsidTr="00EB65FB">
        <w:trPr>
          <w:trHeight w:val="300"/>
        </w:trPr>
        <w:tc>
          <w:tcPr>
            <w:tcW w:w="1700" w:type="dxa"/>
            <w:tcBorders>
              <w:top w:val="nil"/>
              <w:left w:val="nil"/>
              <w:bottom w:val="single" w:sz="4" w:space="0" w:color="auto"/>
              <w:right w:val="nil"/>
            </w:tcBorders>
            <w:shd w:val="clear" w:color="000000" w:fill="FFFFFF"/>
            <w:noWrap/>
            <w:vAlign w:val="bottom"/>
            <w:hideMark/>
          </w:tcPr>
          <w:p w14:paraId="56471B78" w14:textId="77777777" w:rsidR="00336F6D" w:rsidRPr="00336F6D" w:rsidRDefault="00336F6D" w:rsidP="00D14FEE">
            <w:pPr>
              <w:ind w:left="-69"/>
              <w:rPr>
                <w:rFonts w:eastAsia="Times New Roman"/>
                <w:color w:val="000000"/>
                <w:sz w:val="20"/>
                <w:szCs w:val="20"/>
                <w:lang w:eastAsia="pt-BR"/>
              </w:rPr>
            </w:pPr>
            <w:r w:rsidRPr="00336F6D">
              <w:rPr>
                <w:rFonts w:eastAsia="Times New Roman"/>
                <w:color w:val="000000"/>
                <w:sz w:val="20"/>
                <w:szCs w:val="20"/>
                <w:lang w:eastAsia="pt-BR"/>
              </w:rPr>
              <w:t>Ano 2019</w:t>
            </w:r>
          </w:p>
        </w:tc>
        <w:tc>
          <w:tcPr>
            <w:tcW w:w="993" w:type="dxa"/>
            <w:tcBorders>
              <w:top w:val="nil"/>
              <w:left w:val="nil"/>
              <w:bottom w:val="single" w:sz="4" w:space="0" w:color="auto"/>
              <w:right w:val="nil"/>
            </w:tcBorders>
            <w:shd w:val="clear" w:color="000000" w:fill="FFFFFF"/>
            <w:noWrap/>
            <w:vAlign w:val="bottom"/>
            <w:hideMark/>
          </w:tcPr>
          <w:p w14:paraId="00F5A410"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321</w:t>
            </w:r>
          </w:p>
        </w:tc>
        <w:tc>
          <w:tcPr>
            <w:tcW w:w="709" w:type="dxa"/>
            <w:tcBorders>
              <w:top w:val="nil"/>
              <w:left w:val="nil"/>
              <w:bottom w:val="single" w:sz="4" w:space="0" w:color="auto"/>
              <w:right w:val="nil"/>
            </w:tcBorders>
            <w:shd w:val="clear" w:color="000000" w:fill="FFFFFF"/>
            <w:noWrap/>
            <w:vAlign w:val="bottom"/>
            <w:hideMark/>
          </w:tcPr>
          <w:p w14:paraId="6AA3A8A4"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100%</w:t>
            </w:r>
          </w:p>
        </w:tc>
        <w:tc>
          <w:tcPr>
            <w:tcW w:w="2126" w:type="dxa"/>
            <w:tcBorders>
              <w:top w:val="nil"/>
              <w:left w:val="nil"/>
              <w:bottom w:val="single" w:sz="4" w:space="0" w:color="auto"/>
              <w:right w:val="nil"/>
            </w:tcBorders>
            <w:shd w:val="clear" w:color="000000" w:fill="FFFFFF"/>
            <w:noWrap/>
            <w:vAlign w:val="bottom"/>
            <w:hideMark/>
          </w:tcPr>
          <w:p w14:paraId="23898993" w14:textId="625B6BE0" w:rsidR="00336F6D" w:rsidRPr="00336F6D" w:rsidRDefault="00AD0C0E" w:rsidP="00336F6D">
            <w:pPr>
              <w:jc w:val="center"/>
              <w:rPr>
                <w:rFonts w:eastAsia="Times New Roman"/>
                <w:color w:val="000000"/>
                <w:sz w:val="20"/>
                <w:szCs w:val="20"/>
                <w:lang w:eastAsia="pt-BR"/>
              </w:rPr>
            </w:pPr>
            <w:r>
              <w:rPr>
                <w:rFonts w:eastAsia="Times New Roman"/>
                <w:color w:val="000000"/>
                <w:sz w:val="20"/>
                <w:szCs w:val="20"/>
                <w:lang w:eastAsia="pt-BR"/>
              </w:rPr>
              <w:t>Ano 2019</w:t>
            </w:r>
          </w:p>
        </w:tc>
        <w:tc>
          <w:tcPr>
            <w:tcW w:w="1418" w:type="dxa"/>
            <w:tcBorders>
              <w:top w:val="nil"/>
              <w:left w:val="nil"/>
              <w:bottom w:val="single" w:sz="4" w:space="0" w:color="auto"/>
              <w:right w:val="nil"/>
            </w:tcBorders>
            <w:shd w:val="clear" w:color="auto" w:fill="auto"/>
            <w:noWrap/>
            <w:vAlign w:val="bottom"/>
            <w:hideMark/>
          </w:tcPr>
          <w:p w14:paraId="6E6FA437"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244</w:t>
            </w:r>
          </w:p>
        </w:tc>
        <w:tc>
          <w:tcPr>
            <w:tcW w:w="1275" w:type="dxa"/>
            <w:tcBorders>
              <w:top w:val="nil"/>
              <w:left w:val="nil"/>
              <w:bottom w:val="single" w:sz="4" w:space="0" w:color="auto"/>
              <w:right w:val="nil"/>
            </w:tcBorders>
            <w:shd w:val="clear" w:color="auto" w:fill="auto"/>
            <w:noWrap/>
            <w:vAlign w:val="bottom"/>
            <w:hideMark/>
          </w:tcPr>
          <w:p w14:paraId="4BFBCDB0"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100%</w:t>
            </w:r>
          </w:p>
        </w:tc>
      </w:tr>
      <w:tr w:rsidR="00336F6D" w:rsidRPr="00336F6D" w14:paraId="09682CC8" w14:textId="77777777" w:rsidTr="00EB65FB">
        <w:trPr>
          <w:trHeight w:val="300"/>
        </w:trPr>
        <w:tc>
          <w:tcPr>
            <w:tcW w:w="1700" w:type="dxa"/>
            <w:tcBorders>
              <w:top w:val="nil"/>
              <w:left w:val="nil"/>
              <w:bottom w:val="single" w:sz="4" w:space="0" w:color="auto"/>
              <w:right w:val="nil"/>
            </w:tcBorders>
            <w:shd w:val="clear" w:color="auto" w:fill="auto"/>
            <w:noWrap/>
            <w:vAlign w:val="bottom"/>
            <w:hideMark/>
          </w:tcPr>
          <w:p w14:paraId="4C4C5535" w14:textId="77777777" w:rsidR="00336F6D" w:rsidRPr="00336F6D" w:rsidRDefault="00336F6D" w:rsidP="00D14FEE">
            <w:pPr>
              <w:ind w:left="-69"/>
              <w:rPr>
                <w:rFonts w:eastAsia="Times New Roman"/>
                <w:color w:val="000000"/>
                <w:sz w:val="20"/>
                <w:szCs w:val="20"/>
                <w:lang w:eastAsia="pt-BR"/>
              </w:rPr>
            </w:pPr>
            <w:r w:rsidRPr="00336F6D">
              <w:rPr>
                <w:rFonts w:eastAsia="Times New Roman"/>
                <w:color w:val="000000"/>
                <w:sz w:val="20"/>
                <w:szCs w:val="20"/>
                <w:lang w:eastAsia="pt-BR"/>
              </w:rPr>
              <w:t>Empresas de Taió</w:t>
            </w:r>
          </w:p>
        </w:tc>
        <w:tc>
          <w:tcPr>
            <w:tcW w:w="993" w:type="dxa"/>
            <w:tcBorders>
              <w:top w:val="nil"/>
              <w:left w:val="nil"/>
              <w:bottom w:val="single" w:sz="4" w:space="0" w:color="auto"/>
              <w:right w:val="nil"/>
            </w:tcBorders>
            <w:shd w:val="clear" w:color="auto" w:fill="auto"/>
            <w:noWrap/>
            <w:vAlign w:val="bottom"/>
            <w:hideMark/>
          </w:tcPr>
          <w:p w14:paraId="276DAC3F"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103</w:t>
            </w:r>
          </w:p>
        </w:tc>
        <w:tc>
          <w:tcPr>
            <w:tcW w:w="709" w:type="dxa"/>
            <w:tcBorders>
              <w:top w:val="nil"/>
              <w:left w:val="nil"/>
              <w:bottom w:val="single" w:sz="4" w:space="0" w:color="auto"/>
              <w:right w:val="nil"/>
            </w:tcBorders>
            <w:shd w:val="clear" w:color="auto" w:fill="auto"/>
            <w:noWrap/>
            <w:vAlign w:val="bottom"/>
            <w:hideMark/>
          </w:tcPr>
          <w:p w14:paraId="3575A622"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32%</w:t>
            </w:r>
          </w:p>
        </w:tc>
        <w:tc>
          <w:tcPr>
            <w:tcW w:w="2126" w:type="dxa"/>
            <w:tcBorders>
              <w:top w:val="nil"/>
              <w:left w:val="nil"/>
              <w:bottom w:val="single" w:sz="4" w:space="0" w:color="auto"/>
              <w:right w:val="nil"/>
            </w:tcBorders>
            <w:shd w:val="clear" w:color="auto" w:fill="auto"/>
            <w:noWrap/>
            <w:vAlign w:val="bottom"/>
            <w:hideMark/>
          </w:tcPr>
          <w:p w14:paraId="7D73377F"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Empresas de Taió</w:t>
            </w:r>
          </w:p>
        </w:tc>
        <w:tc>
          <w:tcPr>
            <w:tcW w:w="1418" w:type="dxa"/>
            <w:tcBorders>
              <w:top w:val="nil"/>
              <w:left w:val="nil"/>
              <w:bottom w:val="single" w:sz="4" w:space="0" w:color="auto"/>
              <w:right w:val="nil"/>
            </w:tcBorders>
            <w:shd w:val="clear" w:color="auto" w:fill="auto"/>
            <w:noWrap/>
            <w:vAlign w:val="bottom"/>
            <w:hideMark/>
          </w:tcPr>
          <w:p w14:paraId="4824F879"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84</w:t>
            </w:r>
          </w:p>
        </w:tc>
        <w:tc>
          <w:tcPr>
            <w:tcW w:w="1275" w:type="dxa"/>
            <w:tcBorders>
              <w:top w:val="nil"/>
              <w:left w:val="nil"/>
              <w:bottom w:val="single" w:sz="4" w:space="0" w:color="auto"/>
              <w:right w:val="nil"/>
            </w:tcBorders>
            <w:shd w:val="clear" w:color="auto" w:fill="auto"/>
            <w:noWrap/>
            <w:vAlign w:val="bottom"/>
            <w:hideMark/>
          </w:tcPr>
          <w:p w14:paraId="4D5D252E"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34%</w:t>
            </w:r>
          </w:p>
        </w:tc>
      </w:tr>
      <w:tr w:rsidR="00336F6D" w:rsidRPr="00336F6D" w14:paraId="4BB0E905" w14:textId="77777777" w:rsidTr="00EB65FB">
        <w:trPr>
          <w:trHeight w:val="300"/>
        </w:trPr>
        <w:tc>
          <w:tcPr>
            <w:tcW w:w="1700" w:type="dxa"/>
            <w:tcBorders>
              <w:top w:val="nil"/>
              <w:left w:val="nil"/>
              <w:bottom w:val="single" w:sz="4" w:space="0" w:color="auto"/>
              <w:right w:val="nil"/>
            </w:tcBorders>
            <w:shd w:val="clear" w:color="auto" w:fill="auto"/>
            <w:noWrap/>
            <w:vAlign w:val="bottom"/>
            <w:hideMark/>
          </w:tcPr>
          <w:p w14:paraId="7C8AAAAD" w14:textId="77777777" w:rsidR="00336F6D" w:rsidRPr="00336F6D" w:rsidRDefault="00336F6D" w:rsidP="00D14FEE">
            <w:pPr>
              <w:ind w:left="-69"/>
              <w:rPr>
                <w:rFonts w:eastAsia="Times New Roman"/>
                <w:color w:val="000000"/>
                <w:sz w:val="20"/>
                <w:szCs w:val="20"/>
                <w:lang w:eastAsia="pt-BR"/>
              </w:rPr>
            </w:pPr>
            <w:r w:rsidRPr="00336F6D">
              <w:rPr>
                <w:rFonts w:eastAsia="Times New Roman"/>
                <w:color w:val="000000"/>
                <w:sz w:val="20"/>
                <w:szCs w:val="20"/>
                <w:lang w:eastAsia="pt-BR"/>
              </w:rPr>
              <w:t>Empresas do Alto Vale</w:t>
            </w:r>
          </w:p>
        </w:tc>
        <w:tc>
          <w:tcPr>
            <w:tcW w:w="993" w:type="dxa"/>
            <w:tcBorders>
              <w:top w:val="nil"/>
              <w:left w:val="nil"/>
              <w:bottom w:val="single" w:sz="4" w:space="0" w:color="auto"/>
              <w:right w:val="nil"/>
            </w:tcBorders>
            <w:shd w:val="clear" w:color="auto" w:fill="auto"/>
            <w:noWrap/>
            <w:vAlign w:val="bottom"/>
            <w:hideMark/>
          </w:tcPr>
          <w:p w14:paraId="6EC2ADA0"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72</w:t>
            </w:r>
          </w:p>
        </w:tc>
        <w:tc>
          <w:tcPr>
            <w:tcW w:w="709" w:type="dxa"/>
            <w:tcBorders>
              <w:top w:val="nil"/>
              <w:left w:val="nil"/>
              <w:bottom w:val="single" w:sz="4" w:space="0" w:color="auto"/>
              <w:right w:val="nil"/>
            </w:tcBorders>
            <w:shd w:val="clear" w:color="auto" w:fill="auto"/>
            <w:noWrap/>
            <w:vAlign w:val="bottom"/>
            <w:hideMark/>
          </w:tcPr>
          <w:p w14:paraId="3D8BB9DA"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22%</w:t>
            </w:r>
          </w:p>
        </w:tc>
        <w:tc>
          <w:tcPr>
            <w:tcW w:w="2126" w:type="dxa"/>
            <w:tcBorders>
              <w:top w:val="nil"/>
              <w:left w:val="nil"/>
              <w:bottom w:val="single" w:sz="4" w:space="0" w:color="auto"/>
              <w:right w:val="nil"/>
            </w:tcBorders>
            <w:shd w:val="clear" w:color="auto" w:fill="auto"/>
            <w:noWrap/>
            <w:vAlign w:val="bottom"/>
            <w:hideMark/>
          </w:tcPr>
          <w:p w14:paraId="3465BB3C"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Empresas do Alto Vale</w:t>
            </w:r>
          </w:p>
        </w:tc>
        <w:tc>
          <w:tcPr>
            <w:tcW w:w="1418" w:type="dxa"/>
            <w:tcBorders>
              <w:top w:val="nil"/>
              <w:left w:val="nil"/>
              <w:bottom w:val="single" w:sz="4" w:space="0" w:color="auto"/>
              <w:right w:val="nil"/>
            </w:tcBorders>
            <w:shd w:val="clear" w:color="auto" w:fill="auto"/>
            <w:noWrap/>
            <w:vAlign w:val="bottom"/>
            <w:hideMark/>
          </w:tcPr>
          <w:p w14:paraId="3DCCBADF"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54</w:t>
            </w:r>
          </w:p>
        </w:tc>
        <w:tc>
          <w:tcPr>
            <w:tcW w:w="1275" w:type="dxa"/>
            <w:tcBorders>
              <w:top w:val="nil"/>
              <w:left w:val="nil"/>
              <w:bottom w:val="single" w:sz="4" w:space="0" w:color="auto"/>
              <w:right w:val="nil"/>
            </w:tcBorders>
            <w:shd w:val="clear" w:color="auto" w:fill="auto"/>
            <w:noWrap/>
            <w:vAlign w:val="bottom"/>
            <w:hideMark/>
          </w:tcPr>
          <w:p w14:paraId="7229E130"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22%</w:t>
            </w:r>
          </w:p>
        </w:tc>
      </w:tr>
      <w:tr w:rsidR="00336F6D" w:rsidRPr="00336F6D" w14:paraId="4180B3A1" w14:textId="77777777" w:rsidTr="00EB65FB">
        <w:trPr>
          <w:trHeight w:val="300"/>
        </w:trPr>
        <w:tc>
          <w:tcPr>
            <w:tcW w:w="1700" w:type="dxa"/>
            <w:tcBorders>
              <w:top w:val="nil"/>
              <w:left w:val="nil"/>
              <w:bottom w:val="single" w:sz="4" w:space="0" w:color="auto"/>
              <w:right w:val="nil"/>
            </w:tcBorders>
            <w:shd w:val="clear" w:color="auto" w:fill="auto"/>
            <w:noWrap/>
            <w:vAlign w:val="bottom"/>
            <w:hideMark/>
          </w:tcPr>
          <w:p w14:paraId="5CE844F3" w14:textId="134BDDDB" w:rsidR="00336F6D" w:rsidRPr="00336F6D" w:rsidRDefault="00336F6D" w:rsidP="00D14FEE">
            <w:pPr>
              <w:ind w:left="-69"/>
              <w:rPr>
                <w:rFonts w:eastAsia="Times New Roman"/>
                <w:color w:val="000000"/>
                <w:sz w:val="20"/>
                <w:szCs w:val="20"/>
                <w:lang w:eastAsia="pt-BR"/>
              </w:rPr>
            </w:pPr>
            <w:r w:rsidRPr="00336F6D">
              <w:rPr>
                <w:rFonts w:eastAsia="Times New Roman"/>
                <w:color w:val="000000"/>
                <w:sz w:val="20"/>
                <w:szCs w:val="20"/>
                <w:lang w:eastAsia="pt-BR"/>
              </w:rPr>
              <w:t>Empresas de fora</w:t>
            </w:r>
          </w:p>
        </w:tc>
        <w:tc>
          <w:tcPr>
            <w:tcW w:w="993" w:type="dxa"/>
            <w:tcBorders>
              <w:top w:val="nil"/>
              <w:left w:val="nil"/>
              <w:bottom w:val="single" w:sz="4" w:space="0" w:color="auto"/>
              <w:right w:val="nil"/>
            </w:tcBorders>
            <w:shd w:val="clear" w:color="auto" w:fill="auto"/>
            <w:noWrap/>
            <w:vAlign w:val="bottom"/>
            <w:hideMark/>
          </w:tcPr>
          <w:p w14:paraId="55A9F9D7"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146</w:t>
            </w:r>
          </w:p>
        </w:tc>
        <w:tc>
          <w:tcPr>
            <w:tcW w:w="709" w:type="dxa"/>
            <w:tcBorders>
              <w:top w:val="nil"/>
              <w:left w:val="nil"/>
              <w:bottom w:val="single" w:sz="4" w:space="0" w:color="auto"/>
              <w:right w:val="nil"/>
            </w:tcBorders>
            <w:shd w:val="clear" w:color="auto" w:fill="auto"/>
            <w:noWrap/>
            <w:vAlign w:val="bottom"/>
            <w:hideMark/>
          </w:tcPr>
          <w:p w14:paraId="74E28598"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45%</w:t>
            </w:r>
          </w:p>
        </w:tc>
        <w:tc>
          <w:tcPr>
            <w:tcW w:w="2126" w:type="dxa"/>
            <w:tcBorders>
              <w:top w:val="nil"/>
              <w:left w:val="nil"/>
              <w:bottom w:val="single" w:sz="4" w:space="0" w:color="auto"/>
              <w:right w:val="nil"/>
            </w:tcBorders>
            <w:shd w:val="clear" w:color="auto" w:fill="auto"/>
            <w:noWrap/>
            <w:vAlign w:val="bottom"/>
            <w:hideMark/>
          </w:tcPr>
          <w:p w14:paraId="312C05EA"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 xml:space="preserve"> Empresas de fora</w:t>
            </w:r>
          </w:p>
        </w:tc>
        <w:tc>
          <w:tcPr>
            <w:tcW w:w="1418" w:type="dxa"/>
            <w:tcBorders>
              <w:top w:val="nil"/>
              <w:left w:val="nil"/>
              <w:bottom w:val="single" w:sz="4" w:space="0" w:color="auto"/>
              <w:right w:val="nil"/>
            </w:tcBorders>
            <w:shd w:val="clear" w:color="auto" w:fill="auto"/>
            <w:noWrap/>
            <w:vAlign w:val="bottom"/>
            <w:hideMark/>
          </w:tcPr>
          <w:p w14:paraId="00EBB8DB"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106</w:t>
            </w:r>
          </w:p>
        </w:tc>
        <w:tc>
          <w:tcPr>
            <w:tcW w:w="1275" w:type="dxa"/>
            <w:tcBorders>
              <w:top w:val="nil"/>
              <w:left w:val="nil"/>
              <w:bottom w:val="single" w:sz="4" w:space="0" w:color="auto"/>
              <w:right w:val="nil"/>
            </w:tcBorders>
            <w:shd w:val="clear" w:color="auto" w:fill="auto"/>
            <w:noWrap/>
            <w:vAlign w:val="bottom"/>
            <w:hideMark/>
          </w:tcPr>
          <w:p w14:paraId="6E1F4AAD" w14:textId="77777777" w:rsidR="00336F6D" w:rsidRPr="00336F6D" w:rsidRDefault="00336F6D" w:rsidP="00336F6D">
            <w:pPr>
              <w:jc w:val="center"/>
              <w:rPr>
                <w:rFonts w:eastAsia="Times New Roman"/>
                <w:color w:val="000000"/>
                <w:sz w:val="20"/>
                <w:szCs w:val="20"/>
                <w:lang w:eastAsia="pt-BR"/>
              </w:rPr>
            </w:pPr>
            <w:r w:rsidRPr="00336F6D">
              <w:rPr>
                <w:rFonts w:eastAsia="Times New Roman"/>
                <w:color w:val="000000"/>
                <w:sz w:val="20"/>
                <w:szCs w:val="20"/>
                <w:lang w:eastAsia="pt-BR"/>
              </w:rPr>
              <w:t>43%</w:t>
            </w:r>
          </w:p>
        </w:tc>
      </w:tr>
    </w:tbl>
    <w:p w14:paraId="2F720EB6" w14:textId="326D72D4" w:rsidR="00EB65FB" w:rsidRDefault="00336F6D" w:rsidP="003000B4">
      <w:pPr>
        <w:spacing w:after="160" w:line="259" w:lineRule="auto"/>
        <w:ind w:left="284"/>
        <w:rPr>
          <w:sz w:val="20"/>
          <w:szCs w:val="20"/>
        </w:rPr>
      </w:pPr>
      <w:r>
        <w:rPr>
          <w:sz w:val="20"/>
          <w:szCs w:val="20"/>
        </w:rPr>
        <w:t>F</w:t>
      </w:r>
      <w:r w:rsidR="00EB65FB">
        <w:rPr>
          <w:sz w:val="20"/>
          <w:szCs w:val="20"/>
        </w:rPr>
        <w:t>onte: Dados da pesquisa (2021)</w:t>
      </w:r>
    </w:p>
    <w:p w14:paraId="2BDB0CFA" w14:textId="77777777" w:rsidR="00475F5D" w:rsidRDefault="00475F5D" w:rsidP="00475F5D">
      <w:pPr>
        <w:spacing w:after="160"/>
        <w:ind w:left="284"/>
        <w:rPr>
          <w:sz w:val="20"/>
          <w:szCs w:val="20"/>
        </w:rPr>
      </w:pPr>
    </w:p>
    <w:p w14:paraId="11E8FB08" w14:textId="5E580837" w:rsidR="00C55881" w:rsidRDefault="00C55881" w:rsidP="00C55881">
      <w:pPr>
        <w:pStyle w:val="UnidaviTexto-Espao15"/>
      </w:pPr>
      <w:r>
        <w:t xml:space="preserve">Identificou-se ainda que das 321 participações no ano de 2019, tiveram apenas 244 que foram vencedoras no processo licitatório do município. </w:t>
      </w:r>
    </w:p>
    <w:p w14:paraId="60ED1F01" w14:textId="5BA8BBBC" w:rsidR="00EB65FB" w:rsidRDefault="00EB65FB" w:rsidP="006B4F46">
      <w:pPr>
        <w:pStyle w:val="UnidaviTexto-Espao15"/>
        <w:ind w:firstLine="0"/>
      </w:pPr>
    </w:p>
    <w:p w14:paraId="7336FDE6" w14:textId="284169E0" w:rsidR="00C8633B" w:rsidRDefault="00C8633B" w:rsidP="006B4F46">
      <w:pPr>
        <w:pStyle w:val="UnidaviTexto-Espao15"/>
        <w:ind w:firstLine="0"/>
      </w:pPr>
    </w:p>
    <w:p w14:paraId="7087863F" w14:textId="7B526991" w:rsidR="00C8633B" w:rsidRDefault="00C8633B" w:rsidP="006B4F46">
      <w:pPr>
        <w:pStyle w:val="UnidaviTexto-Espao15"/>
        <w:ind w:firstLine="0"/>
      </w:pPr>
    </w:p>
    <w:p w14:paraId="23A8D072" w14:textId="524DFE29" w:rsidR="00C8633B" w:rsidRDefault="00C8633B" w:rsidP="006B4F46">
      <w:pPr>
        <w:pStyle w:val="UnidaviTexto-Espao15"/>
        <w:ind w:firstLine="0"/>
      </w:pPr>
    </w:p>
    <w:p w14:paraId="151C4A0E" w14:textId="77777777" w:rsidR="00C8633B" w:rsidRDefault="00C8633B" w:rsidP="006B4F46">
      <w:pPr>
        <w:pStyle w:val="UnidaviTexto-Espao15"/>
        <w:ind w:firstLine="0"/>
      </w:pPr>
    </w:p>
    <w:p w14:paraId="413619C1" w14:textId="3866BF77" w:rsidR="00EB65FB" w:rsidRPr="00EB65FB" w:rsidRDefault="00EB65FB" w:rsidP="00EB65FB">
      <w:pPr>
        <w:pStyle w:val="UnidaviTexto-Espao15"/>
        <w:spacing w:line="240" w:lineRule="auto"/>
        <w:ind w:left="284" w:firstLine="0"/>
        <w:contextualSpacing/>
        <w:rPr>
          <w:b/>
          <w:sz w:val="20"/>
        </w:rPr>
      </w:pPr>
      <w:r w:rsidRPr="007F2776">
        <w:rPr>
          <w:b/>
          <w:sz w:val="20"/>
        </w:rPr>
        <w:t>Gr</w:t>
      </w:r>
      <w:r>
        <w:rPr>
          <w:b/>
          <w:sz w:val="20"/>
        </w:rPr>
        <w:t>áfico 18</w:t>
      </w:r>
      <w:r w:rsidRPr="007F2776">
        <w:rPr>
          <w:b/>
          <w:sz w:val="20"/>
        </w:rPr>
        <w:t xml:space="preserve"> – </w:t>
      </w:r>
      <w:r>
        <w:rPr>
          <w:b/>
          <w:sz w:val="20"/>
        </w:rPr>
        <w:t>Quantidade de participações vencedoras por região no ano 2019</w:t>
      </w:r>
    </w:p>
    <w:p w14:paraId="4686B3C1" w14:textId="28E96969" w:rsidR="00C55881" w:rsidRDefault="00C55881" w:rsidP="008A232D">
      <w:pPr>
        <w:pStyle w:val="UnidaviTexto-Espao15"/>
        <w:tabs>
          <w:tab w:val="left" w:pos="8505"/>
          <w:tab w:val="left" w:pos="8647"/>
        </w:tabs>
        <w:spacing w:line="240" w:lineRule="auto"/>
        <w:ind w:left="284" w:right="142" w:firstLine="0"/>
      </w:pPr>
      <w:r>
        <w:rPr>
          <w:noProof/>
        </w:rPr>
        <w:drawing>
          <wp:inline distT="0" distB="0" distL="0" distR="0" wp14:anchorId="1D7D97C5" wp14:editId="62178FBB">
            <wp:extent cx="5191125" cy="2218055"/>
            <wp:effectExtent l="0" t="0" r="9525" b="1079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DA08FC" w14:textId="0B3A5922" w:rsidR="00C55881" w:rsidRPr="001E0F72" w:rsidRDefault="00ED7294" w:rsidP="00C55881">
      <w:pPr>
        <w:pStyle w:val="UnidaviTexto-Espao15"/>
        <w:spacing w:line="240" w:lineRule="auto"/>
        <w:ind w:left="284" w:firstLine="0"/>
        <w:contextualSpacing/>
        <w:rPr>
          <w:sz w:val="20"/>
        </w:rPr>
      </w:pPr>
      <w:r>
        <w:rPr>
          <w:sz w:val="20"/>
        </w:rPr>
        <w:t>Fonte: Dados da pesquisa (2021)</w:t>
      </w:r>
    </w:p>
    <w:p w14:paraId="3A12F363" w14:textId="63626F41" w:rsidR="00991700" w:rsidRDefault="00991700" w:rsidP="00916ED5">
      <w:pPr>
        <w:pStyle w:val="UNIDAVISEOSECUNDARIA"/>
        <w:spacing w:line="360" w:lineRule="auto"/>
      </w:pPr>
    </w:p>
    <w:p w14:paraId="5252FB16" w14:textId="22127FE5" w:rsidR="00C55881" w:rsidRDefault="00B50DA6" w:rsidP="00B50DA6">
      <w:pPr>
        <w:pStyle w:val="UnidaviTexto-Espao15"/>
      </w:pPr>
      <w:r>
        <w:t xml:space="preserve">Pode-se observar </w:t>
      </w:r>
      <w:r w:rsidR="003000B4">
        <w:t>conforme G</w:t>
      </w:r>
      <w:r w:rsidR="0008516D">
        <w:t xml:space="preserve">ráfico 18, </w:t>
      </w:r>
      <w:r>
        <w:t>que a maioria das participações vencedoras no ano de 2019, foram de empresas de fora do Alto Va</w:t>
      </w:r>
      <w:r w:rsidR="0008516D">
        <w:t>le do Itajaí, que representaram 10</w:t>
      </w:r>
      <w:r>
        <w:t>6 das 244 parti</w:t>
      </w:r>
      <w:r w:rsidR="0008516D">
        <w:t>cipações cerca de 44%, e que 84</w:t>
      </w:r>
      <w:r>
        <w:t xml:space="preserve"> participações foram de empresas do municí</w:t>
      </w:r>
      <w:r w:rsidR="0008516D">
        <w:t>pio de Taió representadas por 34</w:t>
      </w:r>
      <w:r>
        <w:t>% do total. As participações do Alto</w:t>
      </w:r>
      <w:r w:rsidR="0008516D">
        <w:t xml:space="preserve"> Vale do Itajaí representaram 54</w:t>
      </w:r>
      <w:r>
        <w:t xml:space="preserve"> cerca de 22%.</w:t>
      </w:r>
    </w:p>
    <w:p w14:paraId="59610BDB" w14:textId="77777777" w:rsidR="00C55881" w:rsidRPr="00EB65FB" w:rsidRDefault="00C55881" w:rsidP="003C6000">
      <w:pPr>
        <w:pStyle w:val="UNIDAVISEOSECUNDARIA"/>
        <w:spacing w:line="360" w:lineRule="auto"/>
        <w:rPr>
          <w:b/>
        </w:rPr>
      </w:pPr>
    </w:p>
    <w:p w14:paraId="7FB8D302" w14:textId="5CDCBEC7" w:rsidR="00991700" w:rsidRPr="00EB65FB" w:rsidRDefault="00543720" w:rsidP="00EB65FB">
      <w:pPr>
        <w:ind w:left="284"/>
        <w:rPr>
          <w:b/>
          <w:sz w:val="20"/>
          <w:szCs w:val="20"/>
        </w:rPr>
      </w:pPr>
      <w:r w:rsidRPr="00EB65FB">
        <w:rPr>
          <w:b/>
          <w:sz w:val="20"/>
          <w:szCs w:val="20"/>
        </w:rPr>
        <w:t>Tabela 14</w:t>
      </w:r>
      <w:r w:rsidR="00C42D0B" w:rsidRPr="00EB65FB">
        <w:rPr>
          <w:b/>
          <w:sz w:val="20"/>
          <w:szCs w:val="20"/>
        </w:rPr>
        <w:t xml:space="preserve"> – Valor das empresas vencedoras no ano 2019</w:t>
      </w:r>
    </w:p>
    <w:tbl>
      <w:tblPr>
        <w:tblW w:w="8221" w:type="dxa"/>
        <w:tblInd w:w="284" w:type="dxa"/>
        <w:tblCellMar>
          <w:left w:w="70" w:type="dxa"/>
          <w:right w:w="70" w:type="dxa"/>
        </w:tblCellMar>
        <w:tblLook w:val="04A0" w:firstRow="1" w:lastRow="0" w:firstColumn="1" w:lastColumn="0" w:noHBand="0" w:noVBand="1"/>
      </w:tblPr>
      <w:tblGrid>
        <w:gridCol w:w="2364"/>
        <w:gridCol w:w="1740"/>
        <w:gridCol w:w="2490"/>
        <w:gridCol w:w="1627"/>
      </w:tblGrid>
      <w:tr w:rsidR="00C42D0B" w:rsidRPr="00C42D0B" w14:paraId="6B1990C7" w14:textId="77777777" w:rsidTr="00ED7294">
        <w:trPr>
          <w:trHeight w:val="316"/>
        </w:trPr>
        <w:tc>
          <w:tcPr>
            <w:tcW w:w="2364" w:type="dxa"/>
            <w:tcBorders>
              <w:top w:val="single" w:sz="4" w:space="0" w:color="auto"/>
              <w:left w:val="nil"/>
              <w:bottom w:val="single" w:sz="4" w:space="0" w:color="auto"/>
              <w:right w:val="nil"/>
            </w:tcBorders>
            <w:shd w:val="clear" w:color="000000" w:fill="FFFFFF"/>
            <w:noWrap/>
            <w:vAlign w:val="bottom"/>
            <w:hideMark/>
          </w:tcPr>
          <w:p w14:paraId="7F7C7F26" w14:textId="77777777" w:rsidR="00C42D0B" w:rsidRPr="00C42D0B" w:rsidRDefault="00C42D0B" w:rsidP="00D14FEE">
            <w:pPr>
              <w:ind w:left="-69"/>
              <w:rPr>
                <w:rFonts w:eastAsia="Times New Roman"/>
                <w:b/>
                <w:bCs/>
                <w:color w:val="000000"/>
                <w:sz w:val="20"/>
                <w:szCs w:val="20"/>
                <w:lang w:eastAsia="pt-BR"/>
              </w:rPr>
            </w:pPr>
            <w:r w:rsidRPr="00C42D0B">
              <w:rPr>
                <w:rFonts w:eastAsia="Times New Roman"/>
                <w:b/>
                <w:bCs/>
                <w:color w:val="000000"/>
                <w:sz w:val="20"/>
                <w:szCs w:val="20"/>
                <w:lang w:eastAsia="pt-BR"/>
              </w:rPr>
              <w:t>Vencedores</w:t>
            </w:r>
          </w:p>
        </w:tc>
        <w:tc>
          <w:tcPr>
            <w:tcW w:w="1740" w:type="dxa"/>
            <w:tcBorders>
              <w:top w:val="single" w:sz="4" w:space="0" w:color="auto"/>
              <w:left w:val="nil"/>
              <w:bottom w:val="single" w:sz="4" w:space="0" w:color="auto"/>
              <w:right w:val="nil"/>
            </w:tcBorders>
            <w:shd w:val="clear" w:color="000000" w:fill="FFFFFF"/>
            <w:noWrap/>
            <w:vAlign w:val="bottom"/>
            <w:hideMark/>
          </w:tcPr>
          <w:p w14:paraId="6626DBC0" w14:textId="77777777" w:rsidR="00C42D0B" w:rsidRPr="00C42D0B" w:rsidRDefault="00C42D0B" w:rsidP="00C42D0B">
            <w:pPr>
              <w:jc w:val="center"/>
              <w:rPr>
                <w:rFonts w:eastAsia="Times New Roman"/>
                <w:b/>
                <w:bCs/>
                <w:color w:val="000000"/>
                <w:sz w:val="20"/>
                <w:szCs w:val="20"/>
                <w:lang w:eastAsia="pt-BR"/>
              </w:rPr>
            </w:pPr>
            <w:r w:rsidRPr="00C42D0B">
              <w:rPr>
                <w:rFonts w:eastAsia="Times New Roman"/>
                <w:b/>
                <w:bCs/>
                <w:color w:val="000000"/>
                <w:sz w:val="20"/>
                <w:szCs w:val="20"/>
                <w:lang w:eastAsia="pt-BR"/>
              </w:rPr>
              <w:t>Total de empresas</w:t>
            </w:r>
          </w:p>
        </w:tc>
        <w:tc>
          <w:tcPr>
            <w:tcW w:w="2490" w:type="dxa"/>
            <w:tcBorders>
              <w:top w:val="single" w:sz="4" w:space="0" w:color="auto"/>
              <w:left w:val="nil"/>
              <w:bottom w:val="single" w:sz="4" w:space="0" w:color="auto"/>
              <w:right w:val="nil"/>
            </w:tcBorders>
            <w:shd w:val="clear" w:color="auto" w:fill="auto"/>
            <w:noWrap/>
            <w:vAlign w:val="bottom"/>
            <w:hideMark/>
          </w:tcPr>
          <w:p w14:paraId="7BC933D5" w14:textId="77777777" w:rsidR="00C42D0B" w:rsidRPr="00C42D0B" w:rsidRDefault="00C42D0B" w:rsidP="00C42D0B">
            <w:pPr>
              <w:jc w:val="center"/>
              <w:rPr>
                <w:rFonts w:eastAsia="Times New Roman"/>
                <w:b/>
                <w:bCs/>
                <w:color w:val="000000"/>
                <w:sz w:val="20"/>
                <w:szCs w:val="20"/>
                <w:lang w:eastAsia="pt-BR"/>
              </w:rPr>
            </w:pPr>
            <w:r w:rsidRPr="00C42D0B">
              <w:rPr>
                <w:rFonts w:eastAsia="Times New Roman"/>
                <w:b/>
                <w:bCs/>
                <w:color w:val="000000"/>
                <w:sz w:val="20"/>
                <w:szCs w:val="20"/>
                <w:lang w:eastAsia="pt-BR"/>
              </w:rPr>
              <w:t>Valor empresas</w:t>
            </w:r>
          </w:p>
        </w:tc>
        <w:tc>
          <w:tcPr>
            <w:tcW w:w="1627" w:type="dxa"/>
            <w:tcBorders>
              <w:top w:val="single" w:sz="4" w:space="0" w:color="auto"/>
              <w:left w:val="nil"/>
              <w:bottom w:val="single" w:sz="4" w:space="0" w:color="auto"/>
              <w:right w:val="nil"/>
            </w:tcBorders>
            <w:shd w:val="clear" w:color="auto" w:fill="auto"/>
            <w:noWrap/>
            <w:vAlign w:val="bottom"/>
            <w:hideMark/>
          </w:tcPr>
          <w:p w14:paraId="70D65F79" w14:textId="77777777" w:rsidR="00C42D0B" w:rsidRPr="00C42D0B" w:rsidRDefault="00C42D0B" w:rsidP="00C42D0B">
            <w:pPr>
              <w:jc w:val="center"/>
              <w:rPr>
                <w:rFonts w:eastAsia="Times New Roman"/>
                <w:b/>
                <w:bCs/>
                <w:color w:val="000000"/>
                <w:sz w:val="20"/>
                <w:szCs w:val="20"/>
                <w:lang w:eastAsia="pt-BR"/>
              </w:rPr>
            </w:pPr>
            <w:r w:rsidRPr="00C42D0B">
              <w:rPr>
                <w:rFonts w:eastAsia="Times New Roman"/>
                <w:b/>
                <w:bCs/>
                <w:color w:val="000000"/>
                <w:sz w:val="20"/>
                <w:szCs w:val="20"/>
                <w:lang w:eastAsia="pt-BR"/>
              </w:rPr>
              <w:t>%</w:t>
            </w:r>
          </w:p>
        </w:tc>
      </w:tr>
      <w:tr w:rsidR="00C42D0B" w:rsidRPr="00C42D0B" w14:paraId="2188090F" w14:textId="77777777" w:rsidTr="00ED7294">
        <w:trPr>
          <w:trHeight w:val="316"/>
        </w:trPr>
        <w:tc>
          <w:tcPr>
            <w:tcW w:w="2364" w:type="dxa"/>
            <w:tcBorders>
              <w:top w:val="nil"/>
              <w:left w:val="nil"/>
              <w:bottom w:val="single" w:sz="4" w:space="0" w:color="auto"/>
              <w:right w:val="nil"/>
            </w:tcBorders>
            <w:shd w:val="clear" w:color="000000" w:fill="FFFFFF"/>
            <w:noWrap/>
            <w:vAlign w:val="bottom"/>
            <w:hideMark/>
          </w:tcPr>
          <w:p w14:paraId="4ED40AD1" w14:textId="77777777" w:rsidR="00C42D0B" w:rsidRPr="00C42D0B" w:rsidRDefault="00C42D0B" w:rsidP="00D14FEE">
            <w:pPr>
              <w:ind w:left="-69"/>
              <w:rPr>
                <w:rFonts w:eastAsia="Times New Roman"/>
                <w:color w:val="000000"/>
                <w:sz w:val="20"/>
                <w:szCs w:val="20"/>
                <w:lang w:eastAsia="pt-BR"/>
              </w:rPr>
            </w:pPr>
            <w:r w:rsidRPr="00C42D0B">
              <w:rPr>
                <w:rFonts w:eastAsia="Times New Roman"/>
                <w:color w:val="000000"/>
                <w:sz w:val="20"/>
                <w:szCs w:val="20"/>
                <w:lang w:eastAsia="pt-BR"/>
              </w:rPr>
              <w:t>Ano 2019</w:t>
            </w:r>
          </w:p>
        </w:tc>
        <w:tc>
          <w:tcPr>
            <w:tcW w:w="1740" w:type="dxa"/>
            <w:tcBorders>
              <w:top w:val="nil"/>
              <w:left w:val="nil"/>
              <w:bottom w:val="single" w:sz="4" w:space="0" w:color="auto"/>
              <w:right w:val="nil"/>
            </w:tcBorders>
            <w:shd w:val="clear" w:color="000000" w:fill="FFFFFF"/>
            <w:noWrap/>
            <w:vAlign w:val="bottom"/>
            <w:hideMark/>
          </w:tcPr>
          <w:p w14:paraId="37AFDCC0"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244</w:t>
            </w:r>
          </w:p>
        </w:tc>
        <w:tc>
          <w:tcPr>
            <w:tcW w:w="2490" w:type="dxa"/>
            <w:tcBorders>
              <w:top w:val="nil"/>
              <w:left w:val="nil"/>
              <w:bottom w:val="single" w:sz="4" w:space="0" w:color="auto"/>
              <w:right w:val="nil"/>
            </w:tcBorders>
            <w:shd w:val="clear" w:color="auto" w:fill="auto"/>
            <w:noWrap/>
            <w:vAlign w:val="bottom"/>
            <w:hideMark/>
          </w:tcPr>
          <w:p w14:paraId="70B49002"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19.722.082,11</w:t>
            </w:r>
          </w:p>
        </w:tc>
        <w:tc>
          <w:tcPr>
            <w:tcW w:w="1627" w:type="dxa"/>
            <w:tcBorders>
              <w:top w:val="nil"/>
              <w:left w:val="nil"/>
              <w:bottom w:val="single" w:sz="4" w:space="0" w:color="auto"/>
              <w:right w:val="nil"/>
            </w:tcBorders>
            <w:shd w:val="clear" w:color="auto" w:fill="auto"/>
            <w:noWrap/>
            <w:vAlign w:val="bottom"/>
            <w:hideMark/>
          </w:tcPr>
          <w:p w14:paraId="5A0589E5"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100%</w:t>
            </w:r>
          </w:p>
        </w:tc>
      </w:tr>
      <w:tr w:rsidR="00C42D0B" w:rsidRPr="00C42D0B" w14:paraId="4D9CC10D" w14:textId="77777777" w:rsidTr="00ED7294">
        <w:trPr>
          <w:trHeight w:val="316"/>
        </w:trPr>
        <w:tc>
          <w:tcPr>
            <w:tcW w:w="2364" w:type="dxa"/>
            <w:tcBorders>
              <w:top w:val="nil"/>
              <w:left w:val="nil"/>
              <w:bottom w:val="single" w:sz="4" w:space="0" w:color="auto"/>
              <w:right w:val="nil"/>
            </w:tcBorders>
            <w:shd w:val="clear" w:color="000000" w:fill="FFFFFF"/>
            <w:noWrap/>
            <w:vAlign w:val="bottom"/>
            <w:hideMark/>
          </w:tcPr>
          <w:p w14:paraId="7AD04961" w14:textId="77777777" w:rsidR="00C42D0B" w:rsidRPr="00C42D0B" w:rsidRDefault="00C42D0B" w:rsidP="00D14FEE">
            <w:pPr>
              <w:ind w:left="-69"/>
              <w:rPr>
                <w:rFonts w:eastAsia="Times New Roman"/>
                <w:color w:val="000000"/>
                <w:sz w:val="20"/>
                <w:szCs w:val="20"/>
                <w:lang w:eastAsia="pt-BR"/>
              </w:rPr>
            </w:pPr>
            <w:r w:rsidRPr="00C42D0B">
              <w:rPr>
                <w:rFonts w:eastAsia="Times New Roman"/>
                <w:color w:val="000000"/>
                <w:sz w:val="20"/>
                <w:szCs w:val="20"/>
                <w:lang w:eastAsia="pt-BR"/>
              </w:rPr>
              <w:t>Valor Empresas de Taió</w:t>
            </w:r>
          </w:p>
        </w:tc>
        <w:tc>
          <w:tcPr>
            <w:tcW w:w="1740" w:type="dxa"/>
            <w:tcBorders>
              <w:top w:val="nil"/>
              <w:left w:val="nil"/>
              <w:bottom w:val="single" w:sz="4" w:space="0" w:color="auto"/>
              <w:right w:val="nil"/>
            </w:tcBorders>
            <w:shd w:val="clear" w:color="000000" w:fill="FFFFFF"/>
            <w:noWrap/>
            <w:vAlign w:val="bottom"/>
            <w:hideMark/>
          </w:tcPr>
          <w:p w14:paraId="239C12A3"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84</w:t>
            </w:r>
          </w:p>
        </w:tc>
        <w:tc>
          <w:tcPr>
            <w:tcW w:w="2490" w:type="dxa"/>
            <w:tcBorders>
              <w:top w:val="nil"/>
              <w:left w:val="nil"/>
              <w:bottom w:val="single" w:sz="4" w:space="0" w:color="auto"/>
              <w:right w:val="nil"/>
            </w:tcBorders>
            <w:shd w:val="clear" w:color="000000" w:fill="FFFFFF"/>
            <w:noWrap/>
            <w:vAlign w:val="bottom"/>
            <w:hideMark/>
          </w:tcPr>
          <w:p w14:paraId="3583CF8E"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5.795.730,71</w:t>
            </w:r>
          </w:p>
        </w:tc>
        <w:tc>
          <w:tcPr>
            <w:tcW w:w="1627" w:type="dxa"/>
            <w:tcBorders>
              <w:top w:val="nil"/>
              <w:left w:val="nil"/>
              <w:bottom w:val="single" w:sz="4" w:space="0" w:color="auto"/>
              <w:right w:val="nil"/>
            </w:tcBorders>
            <w:shd w:val="clear" w:color="000000" w:fill="FFFFFF"/>
            <w:noWrap/>
            <w:vAlign w:val="bottom"/>
            <w:hideMark/>
          </w:tcPr>
          <w:p w14:paraId="1CBE5A59"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29%</w:t>
            </w:r>
          </w:p>
        </w:tc>
      </w:tr>
      <w:tr w:rsidR="00C42D0B" w:rsidRPr="00C42D0B" w14:paraId="530A2317" w14:textId="77777777" w:rsidTr="00ED7294">
        <w:trPr>
          <w:trHeight w:val="316"/>
        </w:trPr>
        <w:tc>
          <w:tcPr>
            <w:tcW w:w="2364" w:type="dxa"/>
            <w:tcBorders>
              <w:top w:val="nil"/>
              <w:left w:val="nil"/>
              <w:bottom w:val="single" w:sz="4" w:space="0" w:color="auto"/>
              <w:right w:val="nil"/>
            </w:tcBorders>
            <w:shd w:val="clear" w:color="000000" w:fill="FFFFFF"/>
            <w:noWrap/>
            <w:vAlign w:val="bottom"/>
            <w:hideMark/>
          </w:tcPr>
          <w:p w14:paraId="11A6FCD2" w14:textId="77777777" w:rsidR="00C42D0B" w:rsidRPr="00C42D0B" w:rsidRDefault="00C42D0B" w:rsidP="00D14FEE">
            <w:pPr>
              <w:ind w:left="-69"/>
              <w:rPr>
                <w:rFonts w:eastAsia="Times New Roman"/>
                <w:color w:val="000000"/>
                <w:sz w:val="20"/>
                <w:szCs w:val="20"/>
                <w:lang w:eastAsia="pt-BR"/>
              </w:rPr>
            </w:pPr>
            <w:r w:rsidRPr="00C42D0B">
              <w:rPr>
                <w:rFonts w:eastAsia="Times New Roman"/>
                <w:color w:val="000000"/>
                <w:sz w:val="20"/>
                <w:szCs w:val="20"/>
                <w:lang w:eastAsia="pt-BR"/>
              </w:rPr>
              <w:t>Valor Empresas do Alto Vale</w:t>
            </w:r>
          </w:p>
        </w:tc>
        <w:tc>
          <w:tcPr>
            <w:tcW w:w="1740" w:type="dxa"/>
            <w:tcBorders>
              <w:top w:val="nil"/>
              <w:left w:val="nil"/>
              <w:bottom w:val="single" w:sz="4" w:space="0" w:color="auto"/>
              <w:right w:val="nil"/>
            </w:tcBorders>
            <w:shd w:val="clear" w:color="000000" w:fill="FFFFFF"/>
            <w:noWrap/>
            <w:vAlign w:val="bottom"/>
            <w:hideMark/>
          </w:tcPr>
          <w:p w14:paraId="4E3DC9BF"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54</w:t>
            </w:r>
          </w:p>
        </w:tc>
        <w:tc>
          <w:tcPr>
            <w:tcW w:w="2490" w:type="dxa"/>
            <w:tcBorders>
              <w:top w:val="nil"/>
              <w:left w:val="nil"/>
              <w:bottom w:val="single" w:sz="4" w:space="0" w:color="auto"/>
              <w:right w:val="nil"/>
            </w:tcBorders>
            <w:shd w:val="clear" w:color="000000" w:fill="FFFFFF"/>
            <w:noWrap/>
            <w:vAlign w:val="bottom"/>
            <w:hideMark/>
          </w:tcPr>
          <w:p w14:paraId="33718CD6"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9.019.975,49</w:t>
            </w:r>
          </w:p>
        </w:tc>
        <w:tc>
          <w:tcPr>
            <w:tcW w:w="1627" w:type="dxa"/>
            <w:tcBorders>
              <w:top w:val="nil"/>
              <w:left w:val="nil"/>
              <w:bottom w:val="single" w:sz="4" w:space="0" w:color="auto"/>
              <w:right w:val="nil"/>
            </w:tcBorders>
            <w:shd w:val="clear" w:color="000000" w:fill="FFFFFF"/>
            <w:noWrap/>
            <w:vAlign w:val="bottom"/>
            <w:hideMark/>
          </w:tcPr>
          <w:p w14:paraId="2634CF87"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46%</w:t>
            </w:r>
          </w:p>
        </w:tc>
      </w:tr>
      <w:tr w:rsidR="00C42D0B" w:rsidRPr="00C42D0B" w14:paraId="2C24262C" w14:textId="77777777" w:rsidTr="00ED7294">
        <w:trPr>
          <w:trHeight w:val="316"/>
        </w:trPr>
        <w:tc>
          <w:tcPr>
            <w:tcW w:w="2364" w:type="dxa"/>
            <w:tcBorders>
              <w:top w:val="nil"/>
              <w:left w:val="nil"/>
              <w:bottom w:val="single" w:sz="4" w:space="0" w:color="auto"/>
              <w:right w:val="nil"/>
            </w:tcBorders>
            <w:shd w:val="clear" w:color="000000" w:fill="FFFFFF"/>
            <w:noWrap/>
            <w:vAlign w:val="bottom"/>
            <w:hideMark/>
          </w:tcPr>
          <w:p w14:paraId="46F11A46" w14:textId="77777777" w:rsidR="00C42D0B" w:rsidRPr="00C42D0B" w:rsidRDefault="00C42D0B" w:rsidP="00D14FEE">
            <w:pPr>
              <w:ind w:left="-69"/>
              <w:rPr>
                <w:rFonts w:eastAsia="Times New Roman"/>
                <w:color w:val="000000"/>
                <w:sz w:val="20"/>
                <w:szCs w:val="20"/>
                <w:lang w:eastAsia="pt-BR"/>
              </w:rPr>
            </w:pPr>
            <w:r w:rsidRPr="00C42D0B">
              <w:rPr>
                <w:rFonts w:eastAsia="Times New Roman"/>
                <w:color w:val="000000"/>
                <w:sz w:val="20"/>
                <w:szCs w:val="20"/>
                <w:lang w:eastAsia="pt-BR"/>
              </w:rPr>
              <w:t>Valor Empresas de Fora</w:t>
            </w:r>
          </w:p>
        </w:tc>
        <w:tc>
          <w:tcPr>
            <w:tcW w:w="1740" w:type="dxa"/>
            <w:tcBorders>
              <w:top w:val="nil"/>
              <w:left w:val="nil"/>
              <w:bottom w:val="single" w:sz="4" w:space="0" w:color="auto"/>
              <w:right w:val="nil"/>
            </w:tcBorders>
            <w:shd w:val="clear" w:color="000000" w:fill="FFFFFF"/>
            <w:noWrap/>
            <w:vAlign w:val="bottom"/>
            <w:hideMark/>
          </w:tcPr>
          <w:p w14:paraId="2A89BF01"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106</w:t>
            </w:r>
          </w:p>
        </w:tc>
        <w:tc>
          <w:tcPr>
            <w:tcW w:w="2490" w:type="dxa"/>
            <w:tcBorders>
              <w:top w:val="nil"/>
              <w:left w:val="nil"/>
              <w:bottom w:val="single" w:sz="4" w:space="0" w:color="auto"/>
              <w:right w:val="nil"/>
            </w:tcBorders>
            <w:shd w:val="clear" w:color="000000" w:fill="FFFFFF"/>
            <w:noWrap/>
            <w:vAlign w:val="bottom"/>
            <w:hideMark/>
          </w:tcPr>
          <w:p w14:paraId="01715F76"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4.906.375,91</w:t>
            </w:r>
          </w:p>
        </w:tc>
        <w:tc>
          <w:tcPr>
            <w:tcW w:w="1627" w:type="dxa"/>
            <w:tcBorders>
              <w:top w:val="nil"/>
              <w:left w:val="nil"/>
              <w:bottom w:val="single" w:sz="4" w:space="0" w:color="auto"/>
              <w:right w:val="nil"/>
            </w:tcBorders>
            <w:shd w:val="clear" w:color="000000" w:fill="FFFFFF"/>
            <w:noWrap/>
            <w:vAlign w:val="bottom"/>
            <w:hideMark/>
          </w:tcPr>
          <w:p w14:paraId="7567DA07" w14:textId="77777777" w:rsidR="00C42D0B" w:rsidRPr="00C42D0B" w:rsidRDefault="00C42D0B" w:rsidP="00C42D0B">
            <w:pPr>
              <w:jc w:val="center"/>
              <w:rPr>
                <w:rFonts w:eastAsia="Times New Roman"/>
                <w:color w:val="000000"/>
                <w:sz w:val="20"/>
                <w:szCs w:val="20"/>
                <w:lang w:eastAsia="pt-BR"/>
              </w:rPr>
            </w:pPr>
            <w:r w:rsidRPr="00C42D0B">
              <w:rPr>
                <w:rFonts w:eastAsia="Times New Roman"/>
                <w:color w:val="000000"/>
                <w:sz w:val="20"/>
                <w:szCs w:val="20"/>
                <w:lang w:eastAsia="pt-BR"/>
              </w:rPr>
              <w:t>25%</w:t>
            </w:r>
          </w:p>
        </w:tc>
      </w:tr>
    </w:tbl>
    <w:p w14:paraId="35C207C3" w14:textId="47186E39" w:rsidR="00C42D0B" w:rsidRDefault="00ED7294" w:rsidP="00EB65FB">
      <w:pPr>
        <w:spacing w:after="160" w:line="360" w:lineRule="auto"/>
        <w:ind w:left="284"/>
        <w:rPr>
          <w:sz w:val="20"/>
          <w:szCs w:val="20"/>
        </w:rPr>
      </w:pPr>
      <w:r>
        <w:rPr>
          <w:sz w:val="20"/>
          <w:szCs w:val="20"/>
        </w:rPr>
        <w:t>Fonte: Dados da pesquisa (2021)</w:t>
      </w:r>
    </w:p>
    <w:p w14:paraId="0ED83154" w14:textId="77777777" w:rsidR="00EB65FB" w:rsidRDefault="00EB65FB" w:rsidP="00475F5D">
      <w:pPr>
        <w:spacing w:after="160"/>
        <w:ind w:left="284"/>
        <w:rPr>
          <w:sz w:val="20"/>
          <w:szCs w:val="20"/>
        </w:rPr>
      </w:pPr>
    </w:p>
    <w:p w14:paraId="637111A8" w14:textId="0095BB60" w:rsidR="00ED7294" w:rsidRDefault="003000B4" w:rsidP="003000B4">
      <w:pPr>
        <w:pStyle w:val="UnidaviTexto-Espao15"/>
      </w:pPr>
      <w:r>
        <w:t>A Tabela 14 aponta que n</w:t>
      </w:r>
      <w:r w:rsidR="00B50DA6">
        <w:t>o ano de 2019, as 122 licitações realizadas totalizaram o valor de R$ 19.722</w:t>
      </w:r>
      <w:r w:rsidR="00002AAD">
        <w:t>.</w:t>
      </w:r>
      <w:r w:rsidR="00B50DA6">
        <w:t xml:space="preserve">082,11. Desse total, R$ 5.795.730,71 foram para empresas do município de Taió, R$ 9.019.975,49 foram para empresas que fazem parte do Alto Vale do Itajaí e 4.906.375,91 foram para empresas que são de fora do Alto Vale do Itajaí. Percebe-se que apesar de a quantidade de participações de fora do Alto Vale do Itajaí terem sido consideravelmente maior do que as </w:t>
      </w:r>
      <w:r w:rsidR="00002AAD">
        <w:t xml:space="preserve">outras duas regiões, as </w:t>
      </w:r>
      <w:r w:rsidR="00B50DA6">
        <w:t xml:space="preserve">participações das empresas do </w:t>
      </w:r>
      <w:r w:rsidR="00D867F1">
        <w:t>Alto Vale do Itajaí</w:t>
      </w:r>
      <w:r w:rsidR="00B50DA6">
        <w:t xml:space="preserve"> </w:t>
      </w:r>
      <w:r w:rsidR="00002AAD">
        <w:t xml:space="preserve">tiveram </w:t>
      </w:r>
      <w:r w:rsidR="00B50DA6">
        <w:t xml:space="preserve">o </w:t>
      </w:r>
      <w:r w:rsidR="00002AAD">
        <w:t>maior valor</w:t>
      </w:r>
      <w:r w:rsidR="00825EE4">
        <w:t>,</w:t>
      </w:r>
      <w:r w:rsidR="00D867F1">
        <w:t xml:space="preserve"> com uma diferença de </w:t>
      </w:r>
      <w:r w:rsidR="00825EE4">
        <w:t>4.133.599,58</w:t>
      </w:r>
      <w:r w:rsidR="00002AAD">
        <w:t xml:space="preserve"> a mais</w:t>
      </w:r>
      <w:r>
        <w:t>.</w:t>
      </w:r>
    </w:p>
    <w:p w14:paraId="0B41EFA0" w14:textId="1D67CCA4" w:rsidR="00C8633B" w:rsidRDefault="00C8633B" w:rsidP="003000B4">
      <w:pPr>
        <w:pStyle w:val="UnidaviTexto-Espao15"/>
      </w:pPr>
    </w:p>
    <w:p w14:paraId="065DFDD7" w14:textId="246188CC" w:rsidR="00C8633B" w:rsidRDefault="00C8633B" w:rsidP="00475F5D">
      <w:pPr>
        <w:pStyle w:val="UnidaviTexto-Espao15"/>
        <w:ind w:firstLine="0"/>
      </w:pPr>
    </w:p>
    <w:p w14:paraId="28C39A43" w14:textId="4C22DC34" w:rsidR="00EB65FB" w:rsidRPr="00EB65FB" w:rsidRDefault="00EB65FB" w:rsidP="00EB65FB">
      <w:pPr>
        <w:pStyle w:val="UnidaviTexto-Espao15"/>
        <w:spacing w:line="240" w:lineRule="auto"/>
        <w:ind w:left="284" w:firstLine="0"/>
        <w:rPr>
          <w:b/>
          <w:sz w:val="20"/>
        </w:rPr>
      </w:pPr>
      <w:r w:rsidRPr="00EB65FB">
        <w:rPr>
          <w:b/>
          <w:sz w:val="20"/>
        </w:rPr>
        <w:t>Gráfico 19 – Valor das empresas vencedoras por região no ano 2019</w:t>
      </w:r>
    </w:p>
    <w:p w14:paraId="7DF0AF51" w14:textId="13096BED" w:rsidR="00EF6779" w:rsidRDefault="00825EE4" w:rsidP="00EB65FB">
      <w:pPr>
        <w:tabs>
          <w:tab w:val="left" w:pos="8789"/>
        </w:tabs>
        <w:spacing w:after="160"/>
        <w:ind w:left="284" w:right="425"/>
        <w:contextualSpacing/>
        <w:rPr>
          <w:b/>
          <w:sz w:val="20"/>
        </w:rPr>
      </w:pPr>
      <w:r>
        <w:rPr>
          <w:noProof/>
          <w:lang w:eastAsia="pt-BR"/>
        </w:rPr>
        <w:drawing>
          <wp:inline distT="0" distB="0" distL="0" distR="0" wp14:anchorId="3D309589" wp14:editId="1FD08948">
            <wp:extent cx="5166995" cy="2915729"/>
            <wp:effectExtent l="0" t="0" r="14605" b="1841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EF6779" w:rsidRPr="00EF6779">
        <w:rPr>
          <w:b/>
          <w:sz w:val="20"/>
        </w:rPr>
        <w:t xml:space="preserve"> </w:t>
      </w:r>
    </w:p>
    <w:p w14:paraId="1582BC67" w14:textId="1B64879E" w:rsidR="00EF6779" w:rsidRDefault="00ED7294" w:rsidP="00EF6779">
      <w:pPr>
        <w:spacing w:after="160" w:line="360" w:lineRule="auto"/>
        <w:ind w:left="284" w:right="425"/>
        <w:contextualSpacing/>
        <w:rPr>
          <w:sz w:val="20"/>
        </w:rPr>
      </w:pPr>
      <w:r>
        <w:rPr>
          <w:sz w:val="20"/>
        </w:rPr>
        <w:t>Fonte: Dados da pesquisa (2021)</w:t>
      </w:r>
    </w:p>
    <w:p w14:paraId="14CCE5B4" w14:textId="77777777" w:rsidR="00ED7294" w:rsidRPr="00186136" w:rsidRDefault="00ED7294" w:rsidP="00E7764C">
      <w:pPr>
        <w:spacing w:after="160"/>
        <w:ind w:left="284" w:right="425"/>
        <w:contextualSpacing/>
        <w:rPr>
          <w:b/>
          <w:sz w:val="20"/>
        </w:rPr>
      </w:pPr>
    </w:p>
    <w:p w14:paraId="2DFB4FE8" w14:textId="32D41D54" w:rsidR="00EF6779" w:rsidRDefault="00EF6779" w:rsidP="00EF6779">
      <w:pPr>
        <w:pStyle w:val="UnidaviTexto-Espao15"/>
      </w:pPr>
      <w:r>
        <w:t xml:space="preserve">Em se tratando de valores licitados </w:t>
      </w:r>
      <w:r w:rsidR="00E7764C">
        <w:t xml:space="preserve">o Gráfico 19 ilustra que </w:t>
      </w:r>
      <w:r>
        <w:t>no ano de 2019, 29% do valor total</w:t>
      </w:r>
      <w:r w:rsidR="00E7764C">
        <w:t xml:space="preserve"> licit</w:t>
      </w:r>
      <w:r w:rsidR="000F7B30">
        <w:t>ado,</w:t>
      </w:r>
      <w:r>
        <w:t xml:space="preserve"> representado por R$ 5.795.730,71 foram das empresas vencedoras que</w:t>
      </w:r>
      <w:r w:rsidR="00E7764C">
        <w:t xml:space="preserve"> pertencem ao município de Taió, 46% cerca de R$ 9.019.975,49 foram os valores vencidos por empresas do Alto Vale do Itajaí e 25% representado por 4.906.375,91 foram os valores vencidos por empresas de fora do Alto Vale do Itajaí.</w:t>
      </w:r>
    </w:p>
    <w:p w14:paraId="1D3531F4" w14:textId="49CDC6DB" w:rsidR="00EF6779" w:rsidRDefault="00EF6779" w:rsidP="00EF6779">
      <w:pPr>
        <w:pStyle w:val="UnidaviTexto-Espao15"/>
      </w:pPr>
      <w:r>
        <w:t xml:space="preserve">A quantidade de participações vencedoras </w:t>
      </w:r>
      <w:r w:rsidR="000F7B30">
        <w:t>n</w:t>
      </w:r>
      <w:r>
        <w:t>o ano de 2019 que foram representadas por empresas c</w:t>
      </w:r>
      <w:r w:rsidR="00795DDB">
        <w:t>lassificadas como ME – Microe</w:t>
      </w:r>
      <w:r>
        <w:t>mpresa e EPP – Empresa de Pequeno Porte, e que usufruíram do benefício da Lei Complementar nº 123/06, onde empresas enquadradas nessas duas categorias possuem uma vantagem de 5% a 10% em relação às empresas de porte maior são apresentadas na Tabela 15.</w:t>
      </w:r>
    </w:p>
    <w:p w14:paraId="1C2BCF39" w14:textId="23A04E94" w:rsidR="00825EE4" w:rsidRDefault="00825EE4" w:rsidP="00475F5D">
      <w:pPr>
        <w:pStyle w:val="UNIDAVISEOSECUNDARIA"/>
      </w:pPr>
    </w:p>
    <w:p w14:paraId="2E30ABB1" w14:textId="7DB57B3C" w:rsidR="00AD0C0E" w:rsidRPr="00ED7294" w:rsidRDefault="00543720" w:rsidP="00ED7294">
      <w:pPr>
        <w:ind w:left="284"/>
        <w:rPr>
          <w:b/>
          <w:sz w:val="20"/>
          <w:szCs w:val="20"/>
        </w:rPr>
      </w:pPr>
      <w:r w:rsidRPr="00ED7294">
        <w:rPr>
          <w:b/>
          <w:sz w:val="20"/>
          <w:szCs w:val="20"/>
        </w:rPr>
        <w:t>Tabela 15</w:t>
      </w:r>
      <w:r w:rsidR="00ED7294">
        <w:rPr>
          <w:b/>
          <w:sz w:val="20"/>
          <w:szCs w:val="20"/>
        </w:rPr>
        <w:t xml:space="preserve"> – Qtde</w:t>
      </w:r>
      <w:r w:rsidR="00AD0C0E" w:rsidRPr="00ED7294">
        <w:rPr>
          <w:b/>
          <w:sz w:val="20"/>
          <w:szCs w:val="20"/>
        </w:rPr>
        <w:t xml:space="preserve"> e valor das empresas enquadradas como ME/EPP participantes no ano 2019</w:t>
      </w:r>
    </w:p>
    <w:tbl>
      <w:tblPr>
        <w:tblW w:w="8221" w:type="dxa"/>
        <w:tblInd w:w="284" w:type="dxa"/>
        <w:tblCellMar>
          <w:left w:w="70" w:type="dxa"/>
          <w:right w:w="70" w:type="dxa"/>
        </w:tblCellMar>
        <w:tblLook w:val="04A0" w:firstRow="1" w:lastRow="0" w:firstColumn="1" w:lastColumn="0" w:noHBand="0" w:noVBand="1"/>
      </w:tblPr>
      <w:tblGrid>
        <w:gridCol w:w="1559"/>
        <w:gridCol w:w="992"/>
        <w:gridCol w:w="1134"/>
        <w:gridCol w:w="2552"/>
        <w:gridCol w:w="1290"/>
        <w:gridCol w:w="694"/>
      </w:tblGrid>
      <w:tr w:rsidR="00AD0C0E" w:rsidRPr="00AD0C0E" w14:paraId="144DBCA0" w14:textId="77777777" w:rsidTr="00ED7294">
        <w:trPr>
          <w:trHeight w:val="293"/>
        </w:trPr>
        <w:tc>
          <w:tcPr>
            <w:tcW w:w="1559" w:type="dxa"/>
            <w:tcBorders>
              <w:top w:val="single" w:sz="4" w:space="0" w:color="auto"/>
              <w:left w:val="nil"/>
              <w:bottom w:val="single" w:sz="4" w:space="0" w:color="auto"/>
              <w:right w:val="nil"/>
            </w:tcBorders>
            <w:shd w:val="clear" w:color="000000" w:fill="FFFFFF"/>
            <w:noWrap/>
            <w:vAlign w:val="bottom"/>
            <w:hideMark/>
          </w:tcPr>
          <w:p w14:paraId="6ED897EF" w14:textId="77777777" w:rsidR="00AD0C0E" w:rsidRPr="00AD0C0E" w:rsidRDefault="00AD0C0E" w:rsidP="00D14FEE">
            <w:pPr>
              <w:ind w:left="-69"/>
              <w:rPr>
                <w:rFonts w:eastAsia="Times New Roman"/>
                <w:b/>
                <w:bCs/>
                <w:color w:val="000000"/>
                <w:sz w:val="20"/>
                <w:szCs w:val="20"/>
                <w:lang w:eastAsia="pt-BR"/>
              </w:rPr>
            </w:pPr>
            <w:r w:rsidRPr="00AD0C0E">
              <w:rPr>
                <w:rFonts w:eastAsia="Times New Roman"/>
                <w:b/>
                <w:bCs/>
                <w:color w:val="000000"/>
                <w:sz w:val="20"/>
                <w:szCs w:val="20"/>
                <w:lang w:eastAsia="pt-BR"/>
              </w:rPr>
              <w:t>Vencedores ME/EPP</w:t>
            </w:r>
          </w:p>
        </w:tc>
        <w:tc>
          <w:tcPr>
            <w:tcW w:w="992" w:type="dxa"/>
            <w:tcBorders>
              <w:top w:val="single" w:sz="4" w:space="0" w:color="auto"/>
              <w:left w:val="nil"/>
              <w:bottom w:val="single" w:sz="4" w:space="0" w:color="auto"/>
              <w:right w:val="nil"/>
            </w:tcBorders>
            <w:shd w:val="clear" w:color="000000" w:fill="FFFFFF"/>
            <w:noWrap/>
            <w:vAlign w:val="bottom"/>
            <w:hideMark/>
          </w:tcPr>
          <w:p w14:paraId="06499148" w14:textId="77777777" w:rsidR="00AD0C0E" w:rsidRPr="00AD0C0E" w:rsidRDefault="00AD0C0E" w:rsidP="00AD0C0E">
            <w:pPr>
              <w:jc w:val="center"/>
              <w:rPr>
                <w:rFonts w:eastAsia="Times New Roman"/>
                <w:b/>
                <w:bCs/>
                <w:color w:val="000000"/>
                <w:sz w:val="20"/>
                <w:szCs w:val="20"/>
                <w:lang w:eastAsia="pt-BR"/>
              </w:rPr>
            </w:pPr>
            <w:r w:rsidRPr="00AD0C0E">
              <w:rPr>
                <w:rFonts w:eastAsia="Times New Roman"/>
                <w:b/>
                <w:bCs/>
                <w:color w:val="000000"/>
                <w:sz w:val="20"/>
                <w:szCs w:val="20"/>
                <w:lang w:eastAsia="pt-BR"/>
              </w:rPr>
              <w:t>Nº de empresas</w:t>
            </w:r>
          </w:p>
        </w:tc>
        <w:tc>
          <w:tcPr>
            <w:tcW w:w="1134" w:type="dxa"/>
            <w:tcBorders>
              <w:top w:val="single" w:sz="4" w:space="0" w:color="auto"/>
              <w:left w:val="nil"/>
              <w:bottom w:val="single" w:sz="4" w:space="0" w:color="auto"/>
              <w:right w:val="nil"/>
            </w:tcBorders>
            <w:shd w:val="clear" w:color="000000" w:fill="FFFFFF"/>
            <w:noWrap/>
            <w:vAlign w:val="bottom"/>
            <w:hideMark/>
          </w:tcPr>
          <w:p w14:paraId="4F572889" w14:textId="77777777" w:rsidR="00AD0C0E" w:rsidRPr="00AD0C0E" w:rsidRDefault="00AD0C0E" w:rsidP="00AD0C0E">
            <w:pPr>
              <w:jc w:val="center"/>
              <w:rPr>
                <w:rFonts w:eastAsia="Times New Roman"/>
                <w:b/>
                <w:bCs/>
                <w:color w:val="000000"/>
                <w:sz w:val="20"/>
                <w:szCs w:val="20"/>
                <w:lang w:eastAsia="pt-BR"/>
              </w:rPr>
            </w:pPr>
            <w:r w:rsidRPr="00AD0C0E">
              <w:rPr>
                <w:rFonts w:eastAsia="Times New Roman"/>
                <w:b/>
                <w:bCs/>
                <w:color w:val="000000"/>
                <w:sz w:val="20"/>
                <w:szCs w:val="20"/>
                <w:lang w:eastAsia="pt-BR"/>
              </w:rPr>
              <w:t>%</w:t>
            </w:r>
          </w:p>
        </w:tc>
        <w:tc>
          <w:tcPr>
            <w:tcW w:w="2552" w:type="dxa"/>
            <w:tcBorders>
              <w:top w:val="single" w:sz="4" w:space="0" w:color="auto"/>
              <w:left w:val="nil"/>
              <w:bottom w:val="single" w:sz="4" w:space="0" w:color="auto"/>
              <w:right w:val="nil"/>
            </w:tcBorders>
            <w:shd w:val="clear" w:color="000000" w:fill="FFFFFF"/>
            <w:noWrap/>
            <w:vAlign w:val="bottom"/>
            <w:hideMark/>
          </w:tcPr>
          <w:p w14:paraId="5DBADE25" w14:textId="77777777" w:rsidR="00AD0C0E" w:rsidRPr="00AD0C0E" w:rsidRDefault="00AD0C0E" w:rsidP="00AD0C0E">
            <w:pPr>
              <w:rPr>
                <w:rFonts w:eastAsia="Times New Roman"/>
                <w:b/>
                <w:bCs/>
                <w:color w:val="000000"/>
                <w:sz w:val="20"/>
                <w:szCs w:val="20"/>
                <w:lang w:eastAsia="pt-BR"/>
              </w:rPr>
            </w:pPr>
            <w:r w:rsidRPr="00AD0C0E">
              <w:rPr>
                <w:rFonts w:eastAsia="Times New Roman"/>
                <w:b/>
                <w:bCs/>
                <w:color w:val="000000"/>
                <w:sz w:val="20"/>
                <w:szCs w:val="20"/>
                <w:lang w:eastAsia="pt-BR"/>
              </w:rPr>
              <w:t>Vencedores ME/EPP</w:t>
            </w:r>
          </w:p>
        </w:tc>
        <w:tc>
          <w:tcPr>
            <w:tcW w:w="1290" w:type="dxa"/>
            <w:tcBorders>
              <w:top w:val="single" w:sz="4" w:space="0" w:color="auto"/>
              <w:left w:val="nil"/>
              <w:bottom w:val="single" w:sz="4" w:space="0" w:color="auto"/>
              <w:right w:val="nil"/>
            </w:tcBorders>
            <w:shd w:val="clear" w:color="000000" w:fill="FFFFFF"/>
            <w:noWrap/>
            <w:vAlign w:val="bottom"/>
            <w:hideMark/>
          </w:tcPr>
          <w:p w14:paraId="64E90B21" w14:textId="77777777" w:rsidR="00AD0C0E" w:rsidRPr="00AD0C0E" w:rsidRDefault="00AD0C0E" w:rsidP="00AD0C0E">
            <w:pPr>
              <w:jc w:val="center"/>
              <w:rPr>
                <w:rFonts w:eastAsia="Times New Roman"/>
                <w:b/>
                <w:bCs/>
                <w:color w:val="000000"/>
                <w:sz w:val="20"/>
                <w:szCs w:val="20"/>
                <w:lang w:eastAsia="pt-BR"/>
              </w:rPr>
            </w:pPr>
            <w:r w:rsidRPr="00AD0C0E">
              <w:rPr>
                <w:rFonts w:eastAsia="Times New Roman"/>
                <w:b/>
                <w:bCs/>
                <w:color w:val="000000"/>
                <w:sz w:val="20"/>
                <w:szCs w:val="20"/>
                <w:lang w:eastAsia="pt-BR"/>
              </w:rPr>
              <w:t>Valor</w:t>
            </w:r>
          </w:p>
        </w:tc>
        <w:tc>
          <w:tcPr>
            <w:tcW w:w="694" w:type="dxa"/>
            <w:tcBorders>
              <w:top w:val="single" w:sz="4" w:space="0" w:color="auto"/>
              <w:left w:val="nil"/>
              <w:bottom w:val="single" w:sz="4" w:space="0" w:color="auto"/>
              <w:right w:val="nil"/>
            </w:tcBorders>
            <w:shd w:val="clear" w:color="auto" w:fill="auto"/>
            <w:noWrap/>
            <w:vAlign w:val="bottom"/>
            <w:hideMark/>
          </w:tcPr>
          <w:p w14:paraId="5B5CDB16" w14:textId="77777777" w:rsidR="00AD0C0E" w:rsidRPr="00AD0C0E" w:rsidRDefault="00AD0C0E" w:rsidP="00AD0C0E">
            <w:pPr>
              <w:jc w:val="center"/>
              <w:rPr>
                <w:rFonts w:eastAsia="Times New Roman"/>
                <w:b/>
                <w:bCs/>
                <w:color w:val="000000"/>
                <w:sz w:val="20"/>
                <w:szCs w:val="20"/>
                <w:lang w:eastAsia="pt-BR"/>
              </w:rPr>
            </w:pPr>
            <w:r w:rsidRPr="00AD0C0E">
              <w:rPr>
                <w:rFonts w:eastAsia="Times New Roman"/>
                <w:b/>
                <w:bCs/>
                <w:color w:val="000000"/>
                <w:sz w:val="20"/>
                <w:szCs w:val="20"/>
                <w:lang w:eastAsia="pt-BR"/>
              </w:rPr>
              <w:t>%</w:t>
            </w:r>
          </w:p>
        </w:tc>
      </w:tr>
      <w:tr w:rsidR="00AD0C0E" w:rsidRPr="00AD0C0E" w14:paraId="04FBFDE3" w14:textId="77777777" w:rsidTr="00ED7294">
        <w:trPr>
          <w:trHeight w:val="293"/>
        </w:trPr>
        <w:tc>
          <w:tcPr>
            <w:tcW w:w="1559" w:type="dxa"/>
            <w:tcBorders>
              <w:top w:val="nil"/>
              <w:left w:val="nil"/>
              <w:bottom w:val="single" w:sz="4" w:space="0" w:color="auto"/>
              <w:right w:val="nil"/>
            </w:tcBorders>
            <w:shd w:val="clear" w:color="000000" w:fill="FFFFFF"/>
            <w:noWrap/>
            <w:vAlign w:val="bottom"/>
            <w:hideMark/>
          </w:tcPr>
          <w:p w14:paraId="054A139B" w14:textId="77777777" w:rsidR="00AD0C0E" w:rsidRPr="00AD0C0E" w:rsidRDefault="00AD0C0E" w:rsidP="00D14FEE">
            <w:pPr>
              <w:ind w:left="-69"/>
              <w:rPr>
                <w:rFonts w:eastAsia="Times New Roman"/>
                <w:color w:val="000000"/>
                <w:sz w:val="20"/>
                <w:szCs w:val="20"/>
                <w:lang w:eastAsia="pt-BR"/>
              </w:rPr>
            </w:pPr>
            <w:r w:rsidRPr="00AD0C0E">
              <w:rPr>
                <w:rFonts w:eastAsia="Times New Roman"/>
                <w:color w:val="000000"/>
                <w:sz w:val="20"/>
                <w:szCs w:val="20"/>
                <w:lang w:eastAsia="pt-BR"/>
              </w:rPr>
              <w:t>Ano 2019</w:t>
            </w:r>
          </w:p>
        </w:tc>
        <w:tc>
          <w:tcPr>
            <w:tcW w:w="992" w:type="dxa"/>
            <w:tcBorders>
              <w:top w:val="nil"/>
              <w:left w:val="nil"/>
              <w:bottom w:val="single" w:sz="4" w:space="0" w:color="auto"/>
              <w:right w:val="nil"/>
            </w:tcBorders>
            <w:shd w:val="clear" w:color="000000" w:fill="FFFFFF"/>
            <w:noWrap/>
            <w:vAlign w:val="bottom"/>
            <w:hideMark/>
          </w:tcPr>
          <w:p w14:paraId="05DECDBF" w14:textId="77777777" w:rsidR="00AD0C0E" w:rsidRPr="00AD0C0E" w:rsidRDefault="00AD0C0E" w:rsidP="00AD0C0E">
            <w:pPr>
              <w:jc w:val="center"/>
              <w:rPr>
                <w:rFonts w:eastAsia="Times New Roman"/>
                <w:color w:val="000000"/>
                <w:sz w:val="20"/>
                <w:szCs w:val="20"/>
                <w:lang w:eastAsia="pt-BR"/>
              </w:rPr>
            </w:pPr>
            <w:r w:rsidRPr="00AD0C0E">
              <w:rPr>
                <w:rFonts w:eastAsia="Times New Roman"/>
                <w:color w:val="000000"/>
                <w:sz w:val="20"/>
                <w:szCs w:val="20"/>
                <w:lang w:eastAsia="pt-BR"/>
              </w:rPr>
              <w:t>196</w:t>
            </w:r>
          </w:p>
        </w:tc>
        <w:tc>
          <w:tcPr>
            <w:tcW w:w="1134" w:type="dxa"/>
            <w:tcBorders>
              <w:top w:val="nil"/>
              <w:left w:val="nil"/>
              <w:bottom w:val="single" w:sz="4" w:space="0" w:color="auto"/>
              <w:right w:val="nil"/>
            </w:tcBorders>
            <w:shd w:val="clear" w:color="000000" w:fill="FFFFFF"/>
            <w:noWrap/>
            <w:vAlign w:val="bottom"/>
            <w:hideMark/>
          </w:tcPr>
          <w:p w14:paraId="4F87C0D9" w14:textId="77777777" w:rsidR="00AD0C0E" w:rsidRPr="00AD0C0E" w:rsidRDefault="00AD0C0E" w:rsidP="00AD0C0E">
            <w:pPr>
              <w:jc w:val="center"/>
              <w:rPr>
                <w:rFonts w:eastAsia="Times New Roman"/>
                <w:color w:val="000000"/>
                <w:sz w:val="20"/>
                <w:szCs w:val="20"/>
                <w:lang w:eastAsia="pt-BR"/>
              </w:rPr>
            </w:pPr>
            <w:r w:rsidRPr="00AD0C0E">
              <w:rPr>
                <w:rFonts w:eastAsia="Times New Roman"/>
                <w:color w:val="000000"/>
                <w:sz w:val="20"/>
                <w:szCs w:val="20"/>
                <w:lang w:eastAsia="pt-BR"/>
              </w:rPr>
              <w:t>100%</w:t>
            </w:r>
          </w:p>
        </w:tc>
        <w:tc>
          <w:tcPr>
            <w:tcW w:w="2552" w:type="dxa"/>
            <w:tcBorders>
              <w:top w:val="nil"/>
              <w:left w:val="nil"/>
              <w:bottom w:val="single" w:sz="4" w:space="0" w:color="auto"/>
              <w:right w:val="nil"/>
            </w:tcBorders>
            <w:shd w:val="clear" w:color="000000" w:fill="FFFFFF"/>
            <w:noWrap/>
            <w:vAlign w:val="bottom"/>
            <w:hideMark/>
          </w:tcPr>
          <w:p w14:paraId="25FE21F8" w14:textId="77777777" w:rsidR="00AD0C0E" w:rsidRPr="00AD0C0E" w:rsidRDefault="00AD0C0E" w:rsidP="00AD0C0E">
            <w:pPr>
              <w:rPr>
                <w:rFonts w:eastAsia="Times New Roman"/>
                <w:color w:val="000000"/>
                <w:sz w:val="20"/>
                <w:szCs w:val="20"/>
                <w:lang w:eastAsia="pt-BR"/>
              </w:rPr>
            </w:pPr>
            <w:r w:rsidRPr="00AD0C0E">
              <w:rPr>
                <w:rFonts w:eastAsia="Times New Roman"/>
                <w:color w:val="000000"/>
                <w:sz w:val="20"/>
                <w:szCs w:val="20"/>
                <w:lang w:eastAsia="pt-BR"/>
              </w:rPr>
              <w:t>Ano 2019</w:t>
            </w:r>
          </w:p>
        </w:tc>
        <w:tc>
          <w:tcPr>
            <w:tcW w:w="1290" w:type="dxa"/>
            <w:tcBorders>
              <w:top w:val="nil"/>
              <w:left w:val="nil"/>
              <w:bottom w:val="single" w:sz="4" w:space="0" w:color="auto"/>
              <w:right w:val="nil"/>
            </w:tcBorders>
            <w:shd w:val="clear" w:color="000000" w:fill="FFFFFF"/>
            <w:noWrap/>
            <w:vAlign w:val="bottom"/>
            <w:hideMark/>
          </w:tcPr>
          <w:p w14:paraId="2169F878" w14:textId="77777777" w:rsidR="00AD0C0E" w:rsidRPr="00AD0C0E" w:rsidRDefault="00AD0C0E" w:rsidP="00AD0C0E">
            <w:pPr>
              <w:jc w:val="center"/>
              <w:rPr>
                <w:rFonts w:eastAsia="Times New Roman"/>
                <w:color w:val="000000"/>
                <w:sz w:val="20"/>
                <w:szCs w:val="20"/>
                <w:lang w:eastAsia="pt-BR"/>
              </w:rPr>
            </w:pPr>
            <w:r w:rsidRPr="00AD0C0E">
              <w:rPr>
                <w:rFonts w:eastAsia="Times New Roman"/>
                <w:color w:val="000000"/>
                <w:sz w:val="20"/>
                <w:szCs w:val="20"/>
                <w:lang w:eastAsia="pt-BR"/>
              </w:rPr>
              <w:t>15.193.348,68</w:t>
            </w:r>
          </w:p>
        </w:tc>
        <w:tc>
          <w:tcPr>
            <w:tcW w:w="694" w:type="dxa"/>
            <w:tcBorders>
              <w:top w:val="nil"/>
              <w:left w:val="nil"/>
              <w:bottom w:val="single" w:sz="4" w:space="0" w:color="auto"/>
              <w:right w:val="nil"/>
            </w:tcBorders>
            <w:shd w:val="clear" w:color="auto" w:fill="auto"/>
            <w:noWrap/>
            <w:vAlign w:val="bottom"/>
            <w:hideMark/>
          </w:tcPr>
          <w:p w14:paraId="796DD11B" w14:textId="77777777" w:rsidR="00AD0C0E" w:rsidRPr="00AD0C0E" w:rsidRDefault="00AD0C0E" w:rsidP="00AD0C0E">
            <w:pPr>
              <w:jc w:val="center"/>
              <w:rPr>
                <w:rFonts w:eastAsia="Times New Roman"/>
                <w:color w:val="000000"/>
                <w:sz w:val="20"/>
                <w:szCs w:val="20"/>
                <w:lang w:eastAsia="pt-BR"/>
              </w:rPr>
            </w:pPr>
            <w:r w:rsidRPr="00AD0C0E">
              <w:rPr>
                <w:rFonts w:eastAsia="Times New Roman"/>
                <w:color w:val="000000"/>
                <w:sz w:val="20"/>
                <w:szCs w:val="20"/>
                <w:lang w:eastAsia="pt-BR"/>
              </w:rPr>
              <w:t>100%</w:t>
            </w:r>
          </w:p>
        </w:tc>
      </w:tr>
      <w:tr w:rsidR="00AD0C0E" w:rsidRPr="00AD0C0E" w14:paraId="11A7ABC5" w14:textId="77777777" w:rsidTr="00ED7294">
        <w:trPr>
          <w:trHeight w:val="293"/>
        </w:trPr>
        <w:tc>
          <w:tcPr>
            <w:tcW w:w="1559" w:type="dxa"/>
            <w:tcBorders>
              <w:top w:val="nil"/>
              <w:left w:val="nil"/>
              <w:bottom w:val="single" w:sz="4" w:space="0" w:color="auto"/>
              <w:right w:val="nil"/>
            </w:tcBorders>
            <w:shd w:val="clear" w:color="auto" w:fill="auto"/>
            <w:noWrap/>
            <w:vAlign w:val="bottom"/>
            <w:hideMark/>
          </w:tcPr>
          <w:p w14:paraId="5247915B" w14:textId="77777777" w:rsidR="00AD0C0E" w:rsidRPr="00AD0C0E" w:rsidRDefault="00AD0C0E" w:rsidP="00D14FEE">
            <w:pPr>
              <w:ind w:left="-69"/>
              <w:rPr>
                <w:rFonts w:eastAsia="Times New Roman"/>
                <w:color w:val="000000"/>
                <w:sz w:val="20"/>
                <w:szCs w:val="20"/>
                <w:lang w:eastAsia="pt-BR"/>
              </w:rPr>
            </w:pPr>
            <w:r w:rsidRPr="00AD0C0E">
              <w:rPr>
                <w:rFonts w:eastAsia="Times New Roman"/>
                <w:color w:val="000000"/>
                <w:sz w:val="20"/>
                <w:szCs w:val="20"/>
                <w:lang w:eastAsia="pt-BR"/>
              </w:rPr>
              <w:t>Empresas ME de Taió</w:t>
            </w:r>
          </w:p>
        </w:tc>
        <w:tc>
          <w:tcPr>
            <w:tcW w:w="992" w:type="dxa"/>
            <w:tcBorders>
              <w:top w:val="nil"/>
              <w:left w:val="nil"/>
              <w:bottom w:val="single" w:sz="4" w:space="0" w:color="auto"/>
              <w:right w:val="nil"/>
            </w:tcBorders>
            <w:shd w:val="clear" w:color="auto" w:fill="auto"/>
            <w:noWrap/>
            <w:vAlign w:val="bottom"/>
            <w:hideMark/>
          </w:tcPr>
          <w:p w14:paraId="1EA02A20" w14:textId="77777777" w:rsidR="00AD0C0E" w:rsidRPr="00AD0C0E" w:rsidRDefault="00AD0C0E" w:rsidP="00AD0C0E">
            <w:pPr>
              <w:jc w:val="center"/>
              <w:rPr>
                <w:rFonts w:eastAsia="Times New Roman"/>
                <w:color w:val="000000"/>
                <w:sz w:val="20"/>
                <w:szCs w:val="20"/>
                <w:lang w:eastAsia="pt-BR"/>
              </w:rPr>
            </w:pPr>
            <w:r w:rsidRPr="00AD0C0E">
              <w:rPr>
                <w:rFonts w:eastAsia="Times New Roman"/>
                <w:color w:val="000000"/>
                <w:sz w:val="20"/>
                <w:szCs w:val="20"/>
                <w:lang w:eastAsia="pt-BR"/>
              </w:rPr>
              <w:t>74</w:t>
            </w:r>
          </w:p>
        </w:tc>
        <w:tc>
          <w:tcPr>
            <w:tcW w:w="1134" w:type="dxa"/>
            <w:tcBorders>
              <w:top w:val="nil"/>
              <w:left w:val="nil"/>
              <w:bottom w:val="single" w:sz="4" w:space="0" w:color="auto"/>
              <w:right w:val="nil"/>
            </w:tcBorders>
            <w:shd w:val="clear" w:color="auto" w:fill="auto"/>
            <w:noWrap/>
            <w:vAlign w:val="bottom"/>
            <w:hideMark/>
          </w:tcPr>
          <w:p w14:paraId="017CCDD8" w14:textId="77777777" w:rsidR="00AD0C0E" w:rsidRPr="00AD0C0E" w:rsidRDefault="00AD0C0E" w:rsidP="00AD0C0E">
            <w:pPr>
              <w:jc w:val="center"/>
              <w:rPr>
                <w:rFonts w:eastAsia="Times New Roman"/>
                <w:color w:val="000000"/>
                <w:sz w:val="20"/>
                <w:szCs w:val="20"/>
                <w:lang w:eastAsia="pt-BR"/>
              </w:rPr>
            </w:pPr>
            <w:r w:rsidRPr="00AD0C0E">
              <w:rPr>
                <w:rFonts w:eastAsia="Times New Roman"/>
                <w:color w:val="000000"/>
                <w:sz w:val="20"/>
                <w:szCs w:val="20"/>
                <w:lang w:eastAsia="pt-BR"/>
              </w:rPr>
              <w:t>38%</w:t>
            </w:r>
          </w:p>
        </w:tc>
        <w:tc>
          <w:tcPr>
            <w:tcW w:w="2552" w:type="dxa"/>
            <w:tcBorders>
              <w:top w:val="nil"/>
              <w:left w:val="nil"/>
              <w:bottom w:val="single" w:sz="4" w:space="0" w:color="auto"/>
              <w:right w:val="nil"/>
            </w:tcBorders>
            <w:shd w:val="clear" w:color="000000" w:fill="FFFFFF"/>
            <w:noWrap/>
            <w:vAlign w:val="bottom"/>
            <w:hideMark/>
          </w:tcPr>
          <w:p w14:paraId="2BF17E22" w14:textId="77777777" w:rsidR="00AD0C0E" w:rsidRPr="00AD0C0E" w:rsidRDefault="00AD0C0E" w:rsidP="00AD0C0E">
            <w:pPr>
              <w:rPr>
                <w:rFonts w:eastAsia="Times New Roman"/>
                <w:color w:val="000000"/>
                <w:sz w:val="20"/>
                <w:szCs w:val="20"/>
                <w:lang w:eastAsia="pt-BR"/>
              </w:rPr>
            </w:pPr>
            <w:r w:rsidRPr="00AD0C0E">
              <w:rPr>
                <w:rFonts w:eastAsia="Times New Roman"/>
                <w:color w:val="000000"/>
                <w:sz w:val="20"/>
                <w:szCs w:val="20"/>
                <w:lang w:eastAsia="pt-BR"/>
              </w:rPr>
              <w:t>Valor Empresas de Taió</w:t>
            </w:r>
          </w:p>
        </w:tc>
        <w:tc>
          <w:tcPr>
            <w:tcW w:w="1290" w:type="dxa"/>
            <w:tcBorders>
              <w:top w:val="nil"/>
              <w:left w:val="nil"/>
              <w:bottom w:val="single" w:sz="4" w:space="0" w:color="auto"/>
              <w:right w:val="nil"/>
            </w:tcBorders>
            <w:shd w:val="clear" w:color="000000" w:fill="FFFFFF"/>
            <w:noWrap/>
            <w:vAlign w:val="bottom"/>
            <w:hideMark/>
          </w:tcPr>
          <w:p w14:paraId="6A80ADB3" w14:textId="77777777" w:rsidR="00AD0C0E" w:rsidRPr="00AD0C0E" w:rsidRDefault="00AD0C0E" w:rsidP="00AD0C0E">
            <w:pPr>
              <w:jc w:val="center"/>
              <w:rPr>
                <w:rFonts w:eastAsia="Times New Roman"/>
                <w:color w:val="000000"/>
                <w:sz w:val="20"/>
                <w:szCs w:val="20"/>
                <w:lang w:eastAsia="pt-BR"/>
              </w:rPr>
            </w:pPr>
            <w:r w:rsidRPr="00AD0C0E">
              <w:rPr>
                <w:rFonts w:eastAsia="Times New Roman"/>
                <w:color w:val="000000"/>
                <w:sz w:val="20"/>
                <w:szCs w:val="20"/>
                <w:lang w:eastAsia="pt-BR"/>
              </w:rPr>
              <w:t>4.500.491,14</w:t>
            </w:r>
          </w:p>
        </w:tc>
        <w:tc>
          <w:tcPr>
            <w:tcW w:w="694" w:type="dxa"/>
            <w:tcBorders>
              <w:top w:val="nil"/>
              <w:left w:val="nil"/>
              <w:bottom w:val="single" w:sz="4" w:space="0" w:color="auto"/>
              <w:right w:val="nil"/>
            </w:tcBorders>
            <w:shd w:val="clear" w:color="auto" w:fill="auto"/>
            <w:noWrap/>
            <w:vAlign w:val="bottom"/>
            <w:hideMark/>
          </w:tcPr>
          <w:p w14:paraId="65949F14" w14:textId="77777777" w:rsidR="00AD0C0E" w:rsidRPr="00AD0C0E" w:rsidRDefault="00AD0C0E" w:rsidP="00AD0C0E">
            <w:pPr>
              <w:jc w:val="center"/>
              <w:rPr>
                <w:rFonts w:eastAsia="Times New Roman"/>
                <w:color w:val="000000"/>
                <w:sz w:val="20"/>
                <w:szCs w:val="20"/>
                <w:lang w:eastAsia="pt-BR"/>
              </w:rPr>
            </w:pPr>
            <w:r w:rsidRPr="00AD0C0E">
              <w:rPr>
                <w:rFonts w:eastAsia="Times New Roman"/>
                <w:color w:val="000000"/>
                <w:sz w:val="20"/>
                <w:szCs w:val="20"/>
                <w:lang w:eastAsia="pt-BR"/>
              </w:rPr>
              <w:t>30%</w:t>
            </w:r>
          </w:p>
        </w:tc>
      </w:tr>
      <w:tr w:rsidR="00AD0C0E" w:rsidRPr="00AD0C0E" w14:paraId="3174CDC1" w14:textId="77777777" w:rsidTr="00ED7294">
        <w:trPr>
          <w:trHeight w:val="293"/>
        </w:trPr>
        <w:tc>
          <w:tcPr>
            <w:tcW w:w="1559" w:type="dxa"/>
            <w:tcBorders>
              <w:top w:val="nil"/>
              <w:left w:val="nil"/>
              <w:bottom w:val="single" w:sz="4" w:space="0" w:color="auto"/>
              <w:right w:val="nil"/>
            </w:tcBorders>
            <w:shd w:val="clear" w:color="auto" w:fill="auto"/>
            <w:noWrap/>
            <w:vAlign w:val="bottom"/>
            <w:hideMark/>
          </w:tcPr>
          <w:p w14:paraId="68754E73" w14:textId="77777777" w:rsidR="00AD0C0E" w:rsidRPr="00AD0C0E" w:rsidRDefault="00AD0C0E" w:rsidP="00D14FEE">
            <w:pPr>
              <w:ind w:left="-69"/>
              <w:rPr>
                <w:rFonts w:eastAsia="Times New Roman"/>
                <w:color w:val="000000"/>
                <w:sz w:val="20"/>
                <w:szCs w:val="20"/>
                <w:lang w:eastAsia="pt-BR"/>
              </w:rPr>
            </w:pPr>
            <w:r w:rsidRPr="00AD0C0E">
              <w:rPr>
                <w:rFonts w:eastAsia="Times New Roman"/>
                <w:color w:val="000000"/>
                <w:sz w:val="20"/>
                <w:szCs w:val="20"/>
                <w:lang w:eastAsia="pt-BR"/>
              </w:rPr>
              <w:t>Empresas ME do Alto Vale</w:t>
            </w:r>
          </w:p>
        </w:tc>
        <w:tc>
          <w:tcPr>
            <w:tcW w:w="992" w:type="dxa"/>
            <w:tcBorders>
              <w:top w:val="nil"/>
              <w:left w:val="nil"/>
              <w:bottom w:val="single" w:sz="4" w:space="0" w:color="auto"/>
              <w:right w:val="nil"/>
            </w:tcBorders>
            <w:shd w:val="clear" w:color="auto" w:fill="auto"/>
            <w:noWrap/>
            <w:vAlign w:val="bottom"/>
            <w:hideMark/>
          </w:tcPr>
          <w:p w14:paraId="774F8038" w14:textId="77777777" w:rsidR="00AD0C0E" w:rsidRPr="00AD0C0E" w:rsidRDefault="00AD0C0E" w:rsidP="00AD0C0E">
            <w:pPr>
              <w:jc w:val="center"/>
              <w:rPr>
                <w:rFonts w:eastAsia="Times New Roman"/>
                <w:color w:val="000000"/>
                <w:sz w:val="20"/>
                <w:szCs w:val="20"/>
                <w:lang w:eastAsia="pt-BR"/>
              </w:rPr>
            </w:pPr>
            <w:r w:rsidRPr="00AD0C0E">
              <w:rPr>
                <w:rFonts w:eastAsia="Times New Roman"/>
                <w:color w:val="000000"/>
                <w:sz w:val="20"/>
                <w:szCs w:val="20"/>
                <w:lang w:eastAsia="pt-BR"/>
              </w:rPr>
              <w:t>40</w:t>
            </w:r>
          </w:p>
        </w:tc>
        <w:tc>
          <w:tcPr>
            <w:tcW w:w="1134" w:type="dxa"/>
            <w:tcBorders>
              <w:top w:val="nil"/>
              <w:left w:val="nil"/>
              <w:bottom w:val="single" w:sz="4" w:space="0" w:color="auto"/>
              <w:right w:val="nil"/>
            </w:tcBorders>
            <w:shd w:val="clear" w:color="auto" w:fill="auto"/>
            <w:noWrap/>
            <w:vAlign w:val="bottom"/>
            <w:hideMark/>
          </w:tcPr>
          <w:p w14:paraId="3FF6DA82" w14:textId="77777777" w:rsidR="00AD0C0E" w:rsidRPr="00AD0C0E" w:rsidRDefault="00AD0C0E" w:rsidP="00AD0C0E">
            <w:pPr>
              <w:jc w:val="center"/>
              <w:rPr>
                <w:rFonts w:eastAsia="Times New Roman"/>
                <w:color w:val="000000"/>
                <w:sz w:val="20"/>
                <w:szCs w:val="20"/>
                <w:lang w:eastAsia="pt-BR"/>
              </w:rPr>
            </w:pPr>
            <w:r w:rsidRPr="00AD0C0E">
              <w:rPr>
                <w:rFonts w:eastAsia="Times New Roman"/>
                <w:color w:val="000000"/>
                <w:sz w:val="20"/>
                <w:szCs w:val="20"/>
                <w:lang w:eastAsia="pt-BR"/>
              </w:rPr>
              <w:t>20%</w:t>
            </w:r>
          </w:p>
        </w:tc>
        <w:tc>
          <w:tcPr>
            <w:tcW w:w="2552" w:type="dxa"/>
            <w:tcBorders>
              <w:top w:val="nil"/>
              <w:left w:val="nil"/>
              <w:bottom w:val="single" w:sz="4" w:space="0" w:color="auto"/>
              <w:right w:val="nil"/>
            </w:tcBorders>
            <w:shd w:val="clear" w:color="000000" w:fill="FFFFFF"/>
            <w:noWrap/>
            <w:vAlign w:val="bottom"/>
            <w:hideMark/>
          </w:tcPr>
          <w:p w14:paraId="7C2971EF" w14:textId="77777777" w:rsidR="00AD0C0E" w:rsidRPr="00AD0C0E" w:rsidRDefault="00AD0C0E" w:rsidP="00AD0C0E">
            <w:pPr>
              <w:rPr>
                <w:rFonts w:eastAsia="Times New Roman"/>
                <w:color w:val="000000"/>
                <w:sz w:val="20"/>
                <w:szCs w:val="20"/>
                <w:lang w:eastAsia="pt-BR"/>
              </w:rPr>
            </w:pPr>
            <w:r w:rsidRPr="00AD0C0E">
              <w:rPr>
                <w:rFonts w:eastAsia="Times New Roman"/>
                <w:color w:val="000000"/>
                <w:sz w:val="20"/>
                <w:szCs w:val="20"/>
                <w:lang w:eastAsia="pt-BR"/>
              </w:rPr>
              <w:t>Valor Empresas do Alto Vale</w:t>
            </w:r>
          </w:p>
        </w:tc>
        <w:tc>
          <w:tcPr>
            <w:tcW w:w="1290" w:type="dxa"/>
            <w:tcBorders>
              <w:top w:val="nil"/>
              <w:left w:val="nil"/>
              <w:bottom w:val="single" w:sz="4" w:space="0" w:color="auto"/>
              <w:right w:val="nil"/>
            </w:tcBorders>
            <w:shd w:val="clear" w:color="000000" w:fill="FFFFFF"/>
            <w:noWrap/>
            <w:vAlign w:val="bottom"/>
            <w:hideMark/>
          </w:tcPr>
          <w:p w14:paraId="5D04CD51" w14:textId="77777777" w:rsidR="00AD0C0E" w:rsidRPr="00AD0C0E" w:rsidRDefault="00AD0C0E" w:rsidP="00AD0C0E">
            <w:pPr>
              <w:jc w:val="center"/>
              <w:rPr>
                <w:rFonts w:eastAsia="Times New Roman"/>
                <w:color w:val="000000"/>
                <w:sz w:val="20"/>
                <w:szCs w:val="20"/>
                <w:lang w:eastAsia="pt-BR"/>
              </w:rPr>
            </w:pPr>
            <w:r w:rsidRPr="00AD0C0E">
              <w:rPr>
                <w:rFonts w:eastAsia="Times New Roman"/>
                <w:color w:val="000000"/>
                <w:sz w:val="20"/>
                <w:szCs w:val="20"/>
                <w:lang w:eastAsia="pt-BR"/>
              </w:rPr>
              <w:t>7.489.911,18</w:t>
            </w:r>
          </w:p>
        </w:tc>
        <w:tc>
          <w:tcPr>
            <w:tcW w:w="694" w:type="dxa"/>
            <w:tcBorders>
              <w:top w:val="nil"/>
              <w:left w:val="nil"/>
              <w:bottom w:val="single" w:sz="4" w:space="0" w:color="auto"/>
              <w:right w:val="nil"/>
            </w:tcBorders>
            <w:shd w:val="clear" w:color="auto" w:fill="auto"/>
            <w:noWrap/>
            <w:vAlign w:val="bottom"/>
            <w:hideMark/>
          </w:tcPr>
          <w:p w14:paraId="1C45810F" w14:textId="77777777" w:rsidR="00AD0C0E" w:rsidRPr="00AD0C0E" w:rsidRDefault="00AD0C0E" w:rsidP="00AD0C0E">
            <w:pPr>
              <w:jc w:val="center"/>
              <w:rPr>
                <w:rFonts w:eastAsia="Times New Roman"/>
                <w:color w:val="000000"/>
                <w:sz w:val="20"/>
                <w:szCs w:val="20"/>
                <w:lang w:eastAsia="pt-BR"/>
              </w:rPr>
            </w:pPr>
            <w:r w:rsidRPr="00AD0C0E">
              <w:rPr>
                <w:rFonts w:eastAsia="Times New Roman"/>
                <w:color w:val="000000"/>
                <w:sz w:val="20"/>
                <w:szCs w:val="20"/>
                <w:lang w:eastAsia="pt-BR"/>
              </w:rPr>
              <w:t>49%</w:t>
            </w:r>
          </w:p>
        </w:tc>
      </w:tr>
      <w:tr w:rsidR="00AD0C0E" w:rsidRPr="00AD0C0E" w14:paraId="5F6BA7F2" w14:textId="77777777" w:rsidTr="00ED7294">
        <w:trPr>
          <w:trHeight w:val="293"/>
        </w:trPr>
        <w:tc>
          <w:tcPr>
            <w:tcW w:w="1559" w:type="dxa"/>
            <w:tcBorders>
              <w:top w:val="nil"/>
              <w:left w:val="nil"/>
              <w:bottom w:val="single" w:sz="4" w:space="0" w:color="auto"/>
              <w:right w:val="nil"/>
            </w:tcBorders>
            <w:shd w:val="clear" w:color="auto" w:fill="auto"/>
            <w:noWrap/>
            <w:vAlign w:val="bottom"/>
            <w:hideMark/>
          </w:tcPr>
          <w:p w14:paraId="69062C85" w14:textId="77777777" w:rsidR="00AD0C0E" w:rsidRPr="00AD0C0E" w:rsidRDefault="00AD0C0E" w:rsidP="00D14FEE">
            <w:pPr>
              <w:ind w:left="-69"/>
              <w:rPr>
                <w:rFonts w:eastAsia="Times New Roman"/>
                <w:color w:val="000000"/>
                <w:sz w:val="20"/>
                <w:szCs w:val="20"/>
                <w:lang w:eastAsia="pt-BR"/>
              </w:rPr>
            </w:pPr>
            <w:r w:rsidRPr="00AD0C0E">
              <w:rPr>
                <w:rFonts w:eastAsia="Times New Roman"/>
                <w:color w:val="000000"/>
                <w:sz w:val="20"/>
                <w:szCs w:val="20"/>
                <w:lang w:eastAsia="pt-BR"/>
              </w:rPr>
              <w:t>Empresas ME de fora</w:t>
            </w:r>
          </w:p>
        </w:tc>
        <w:tc>
          <w:tcPr>
            <w:tcW w:w="992" w:type="dxa"/>
            <w:tcBorders>
              <w:top w:val="nil"/>
              <w:left w:val="nil"/>
              <w:bottom w:val="single" w:sz="4" w:space="0" w:color="auto"/>
              <w:right w:val="nil"/>
            </w:tcBorders>
            <w:shd w:val="clear" w:color="auto" w:fill="auto"/>
            <w:noWrap/>
            <w:vAlign w:val="bottom"/>
            <w:hideMark/>
          </w:tcPr>
          <w:p w14:paraId="2CE6C821" w14:textId="77777777" w:rsidR="00AD0C0E" w:rsidRPr="00AD0C0E" w:rsidRDefault="00AD0C0E" w:rsidP="00AD0C0E">
            <w:pPr>
              <w:jc w:val="center"/>
              <w:rPr>
                <w:rFonts w:eastAsia="Times New Roman"/>
                <w:color w:val="000000"/>
                <w:sz w:val="20"/>
                <w:szCs w:val="20"/>
                <w:lang w:eastAsia="pt-BR"/>
              </w:rPr>
            </w:pPr>
            <w:r w:rsidRPr="00AD0C0E">
              <w:rPr>
                <w:rFonts w:eastAsia="Times New Roman"/>
                <w:color w:val="000000"/>
                <w:sz w:val="20"/>
                <w:szCs w:val="20"/>
                <w:lang w:eastAsia="pt-BR"/>
              </w:rPr>
              <w:t>82</w:t>
            </w:r>
          </w:p>
        </w:tc>
        <w:tc>
          <w:tcPr>
            <w:tcW w:w="1134" w:type="dxa"/>
            <w:tcBorders>
              <w:top w:val="nil"/>
              <w:left w:val="nil"/>
              <w:bottom w:val="single" w:sz="4" w:space="0" w:color="auto"/>
              <w:right w:val="nil"/>
            </w:tcBorders>
            <w:shd w:val="clear" w:color="auto" w:fill="auto"/>
            <w:noWrap/>
            <w:vAlign w:val="bottom"/>
            <w:hideMark/>
          </w:tcPr>
          <w:p w14:paraId="2C985D5A" w14:textId="77777777" w:rsidR="00AD0C0E" w:rsidRPr="00AD0C0E" w:rsidRDefault="00AD0C0E" w:rsidP="00AD0C0E">
            <w:pPr>
              <w:jc w:val="center"/>
              <w:rPr>
                <w:rFonts w:eastAsia="Times New Roman"/>
                <w:color w:val="000000"/>
                <w:sz w:val="20"/>
                <w:szCs w:val="20"/>
                <w:lang w:eastAsia="pt-BR"/>
              </w:rPr>
            </w:pPr>
            <w:r w:rsidRPr="00AD0C0E">
              <w:rPr>
                <w:rFonts w:eastAsia="Times New Roman"/>
                <w:color w:val="000000"/>
                <w:sz w:val="20"/>
                <w:szCs w:val="20"/>
                <w:lang w:eastAsia="pt-BR"/>
              </w:rPr>
              <w:t>42%</w:t>
            </w:r>
          </w:p>
        </w:tc>
        <w:tc>
          <w:tcPr>
            <w:tcW w:w="2552" w:type="dxa"/>
            <w:tcBorders>
              <w:top w:val="nil"/>
              <w:left w:val="nil"/>
              <w:bottom w:val="single" w:sz="4" w:space="0" w:color="auto"/>
              <w:right w:val="nil"/>
            </w:tcBorders>
            <w:shd w:val="clear" w:color="000000" w:fill="FFFFFF"/>
            <w:noWrap/>
            <w:vAlign w:val="bottom"/>
            <w:hideMark/>
          </w:tcPr>
          <w:p w14:paraId="6C42047C" w14:textId="77777777" w:rsidR="00AD0C0E" w:rsidRPr="00AD0C0E" w:rsidRDefault="00AD0C0E" w:rsidP="00AD0C0E">
            <w:pPr>
              <w:rPr>
                <w:rFonts w:eastAsia="Times New Roman"/>
                <w:color w:val="000000"/>
                <w:sz w:val="20"/>
                <w:szCs w:val="20"/>
                <w:lang w:eastAsia="pt-BR"/>
              </w:rPr>
            </w:pPr>
            <w:r w:rsidRPr="00AD0C0E">
              <w:rPr>
                <w:rFonts w:eastAsia="Times New Roman"/>
                <w:color w:val="000000"/>
                <w:sz w:val="20"/>
                <w:szCs w:val="20"/>
                <w:lang w:eastAsia="pt-BR"/>
              </w:rPr>
              <w:t>Valor Empresas de Fora</w:t>
            </w:r>
          </w:p>
        </w:tc>
        <w:tc>
          <w:tcPr>
            <w:tcW w:w="1290" w:type="dxa"/>
            <w:tcBorders>
              <w:top w:val="nil"/>
              <w:left w:val="nil"/>
              <w:bottom w:val="single" w:sz="4" w:space="0" w:color="auto"/>
              <w:right w:val="nil"/>
            </w:tcBorders>
            <w:shd w:val="clear" w:color="000000" w:fill="FFFFFF"/>
            <w:noWrap/>
            <w:vAlign w:val="bottom"/>
            <w:hideMark/>
          </w:tcPr>
          <w:p w14:paraId="3BB2EB21" w14:textId="77777777" w:rsidR="00AD0C0E" w:rsidRPr="00AD0C0E" w:rsidRDefault="00AD0C0E" w:rsidP="00AD0C0E">
            <w:pPr>
              <w:jc w:val="center"/>
              <w:rPr>
                <w:rFonts w:eastAsia="Times New Roman"/>
                <w:color w:val="000000"/>
                <w:sz w:val="20"/>
                <w:szCs w:val="20"/>
                <w:lang w:eastAsia="pt-BR"/>
              </w:rPr>
            </w:pPr>
            <w:r w:rsidRPr="00AD0C0E">
              <w:rPr>
                <w:rFonts w:eastAsia="Times New Roman"/>
                <w:color w:val="000000"/>
                <w:sz w:val="20"/>
                <w:szCs w:val="20"/>
                <w:lang w:eastAsia="pt-BR"/>
              </w:rPr>
              <w:t>3.202.946,36</w:t>
            </w:r>
          </w:p>
        </w:tc>
        <w:tc>
          <w:tcPr>
            <w:tcW w:w="694" w:type="dxa"/>
            <w:tcBorders>
              <w:top w:val="nil"/>
              <w:left w:val="nil"/>
              <w:bottom w:val="single" w:sz="4" w:space="0" w:color="auto"/>
              <w:right w:val="nil"/>
            </w:tcBorders>
            <w:shd w:val="clear" w:color="auto" w:fill="auto"/>
            <w:noWrap/>
            <w:vAlign w:val="bottom"/>
            <w:hideMark/>
          </w:tcPr>
          <w:p w14:paraId="59F321FC" w14:textId="77777777" w:rsidR="00AD0C0E" w:rsidRPr="00AD0C0E" w:rsidRDefault="00AD0C0E" w:rsidP="00AD0C0E">
            <w:pPr>
              <w:jc w:val="center"/>
              <w:rPr>
                <w:rFonts w:eastAsia="Times New Roman"/>
                <w:color w:val="000000"/>
                <w:sz w:val="20"/>
                <w:szCs w:val="20"/>
                <w:lang w:eastAsia="pt-BR"/>
              </w:rPr>
            </w:pPr>
            <w:r w:rsidRPr="00AD0C0E">
              <w:rPr>
                <w:rFonts w:eastAsia="Times New Roman"/>
                <w:color w:val="000000"/>
                <w:sz w:val="20"/>
                <w:szCs w:val="20"/>
                <w:lang w:eastAsia="pt-BR"/>
              </w:rPr>
              <w:t>21%</w:t>
            </w:r>
          </w:p>
        </w:tc>
      </w:tr>
    </w:tbl>
    <w:p w14:paraId="76B646F5" w14:textId="50939C5B" w:rsidR="00C8633B" w:rsidRDefault="00ED7294" w:rsidP="00475F5D">
      <w:pPr>
        <w:spacing w:after="160" w:line="259" w:lineRule="auto"/>
        <w:ind w:left="284"/>
        <w:rPr>
          <w:sz w:val="20"/>
          <w:szCs w:val="20"/>
        </w:rPr>
      </w:pPr>
      <w:r>
        <w:rPr>
          <w:sz w:val="20"/>
          <w:szCs w:val="20"/>
        </w:rPr>
        <w:t>Fonte: Dados da pesquisa (2021)</w:t>
      </w:r>
    </w:p>
    <w:p w14:paraId="49E23795" w14:textId="77777777" w:rsidR="00475F5D" w:rsidRDefault="00475F5D" w:rsidP="00475F5D">
      <w:pPr>
        <w:spacing w:after="160" w:line="259" w:lineRule="auto"/>
        <w:ind w:left="284"/>
        <w:rPr>
          <w:sz w:val="20"/>
          <w:szCs w:val="20"/>
        </w:rPr>
      </w:pPr>
    </w:p>
    <w:p w14:paraId="281FEA4A" w14:textId="0B3A5DD7" w:rsidR="00AD0C0E" w:rsidRDefault="00D444A7" w:rsidP="00D444A7">
      <w:pPr>
        <w:pStyle w:val="UnidaviTexto-Espao15"/>
      </w:pPr>
      <w:r>
        <w:lastRenderedPageBreak/>
        <w:t>Em 2019, das 244 participações vencedoras das licitações no município de Taió, constatou-se que 196 foram de emp</w:t>
      </w:r>
      <w:r w:rsidR="00FB3462">
        <w:t>resas enquadradas como Microe</w:t>
      </w:r>
      <w:r>
        <w:t>mpresa e Empresas de Pequeno Porte.</w:t>
      </w:r>
    </w:p>
    <w:p w14:paraId="012D4254" w14:textId="63D5DAD2" w:rsidR="00ED7294" w:rsidRDefault="00ED7294" w:rsidP="003C6000">
      <w:pPr>
        <w:pStyle w:val="UnidaviTexto-Espao15"/>
        <w:ind w:firstLine="0"/>
      </w:pPr>
    </w:p>
    <w:p w14:paraId="1E38A001" w14:textId="1EA7C9F0" w:rsidR="00ED7294" w:rsidRPr="00ED7294" w:rsidRDefault="00ED7294" w:rsidP="00ED7294">
      <w:pPr>
        <w:ind w:left="284" w:right="284"/>
        <w:contextualSpacing/>
        <w:rPr>
          <w:b/>
          <w:sz w:val="20"/>
        </w:rPr>
      </w:pPr>
      <w:r w:rsidRPr="007F2776">
        <w:rPr>
          <w:b/>
          <w:sz w:val="20"/>
        </w:rPr>
        <w:t>Gr</w:t>
      </w:r>
      <w:r>
        <w:rPr>
          <w:b/>
          <w:sz w:val="20"/>
        </w:rPr>
        <w:t>áfico 20</w:t>
      </w:r>
      <w:r w:rsidRPr="007F2776">
        <w:rPr>
          <w:b/>
          <w:sz w:val="20"/>
        </w:rPr>
        <w:t xml:space="preserve"> – </w:t>
      </w:r>
      <w:r>
        <w:rPr>
          <w:b/>
          <w:sz w:val="20"/>
        </w:rPr>
        <w:t>Quantidade de participações ME/EPP por região no ano 2019</w:t>
      </w:r>
    </w:p>
    <w:p w14:paraId="63E46F4F" w14:textId="428BB9E1" w:rsidR="00D444A7" w:rsidRDefault="00D444A7" w:rsidP="00ED7294">
      <w:pPr>
        <w:pStyle w:val="UNIDAVISEOSECUNDARIA"/>
        <w:ind w:left="284" w:right="425"/>
      </w:pPr>
      <w:r>
        <w:rPr>
          <w:noProof/>
          <w:lang w:val="pt-BR" w:eastAsia="pt-BR"/>
        </w:rPr>
        <w:drawing>
          <wp:inline distT="0" distB="0" distL="0" distR="0" wp14:anchorId="0566C5AF" wp14:editId="1EB3FBE2">
            <wp:extent cx="5175849" cy="2496185"/>
            <wp:effectExtent l="0" t="0" r="6350" b="1841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2F1E73" w14:textId="6D336D47" w:rsidR="00D444A7" w:rsidRDefault="00ED7294" w:rsidP="00ED7294">
      <w:pPr>
        <w:spacing w:after="160" w:line="360" w:lineRule="auto"/>
        <w:ind w:left="284" w:right="284"/>
        <w:contextualSpacing/>
        <w:rPr>
          <w:sz w:val="20"/>
        </w:rPr>
      </w:pPr>
      <w:r>
        <w:rPr>
          <w:sz w:val="20"/>
        </w:rPr>
        <w:t>Fonte: Dados da pesquisa (2021)</w:t>
      </w:r>
    </w:p>
    <w:p w14:paraId="5131458E" w14:textId="77777777" w:rsidR="00ED7294" w:rsidRDefault="00ED7294" w:rsidP="003C6000">
      <w:pPr>
        <w:spacing w:after="160" w:line="360" w:lineRule="auto"/>
        <w:ind w:left="284" w:right="284"/>
        <w:contextualSpacing/>
        <w:rPr>
          <w:sz w:val="20"/>
        </w:rPr>
      </w:pPr>
    </w:p>
    <w:p w14:paraId="5FC66E53" w14:textId="1636A720" w:rsidR="00D444A7" w:rsidRDefault="00D444A7" w:rsidP="00D444A7">
      <w:pPr>
        <w:pStyle w:val="UnidaviTexto-Espao15"/>
      </w:pPr>
      <w:r>
        <w:t>De</w:t>
      </w:r>
      <w:r w:rsidR="00E7764C">
        <w:t xml:space="preserve"> acordo com o Gráfico 20, de</w:t>
      </w:r>
      <w:r>
        <w:t>ssas 196 participações, identificou-se que 74 foram de empresas do município de Taió, representando cerca de 38% do total. Em relação ao Alto Vale do Itajaí constatou-se 40 participações, representando um total de 20%. Já as participações de fora do Alto Vale do Itajaí foram 82 cerca de 42% do total das participações.</w:t>
      </w:r>
    </w:p>
    <w:p w14:paraId="75D1A45C" w14:textId="77777777" w:rsidR="00ED7294" w:rsidRDefault="00ED7294" w:rsidP="003C6000">
      <w:pPr>
        <w:pStyle w:val="UnidaviTexto-Espao15"/>
      </w:pPr>
    </w:p>
    <w:p w14:paraId="3D9A4E33" w14:textId="37A5AA2F" w:rsidR="00AD0C0E" w:rsidRPr="00ED7294" w:rsidRDefault="00ED7294" w:rsidP="00ED7294">
      <w:pPr>
        <w:pStyle w:val="UnidaviTexto-Espao15"/>
        <w:spacing w:line="240" w:lineRule="auto"/>
        <w:ind w:left="284" w:firstLine="0"/>
        <w:rPr>
          <w:b/>
          <w:sz w:val="20"/>
        </w:rPr>
      </w:pPr>
      <w:r w:rsidRPr="00ED7294">
        <w:rPr>
          <w:b/>
          <w:sz w:val="20"/>
        </w:rPr>
        <w:t>Gráfico 21 – Valor das empresas ME/EPP por região no ano 2019</w:t>
      </w:r>
    </w:p>
    <w:p w14:paraId="79ACB81F" w14:textId="0C95ACD9" w:rsidR="003F7DDA" w:rsidRPr="00ED7294" w:rsidRDefault="003F7DDA" w:rsidP="00875BAB">
      <w:pPr>
        <w:pStyle w:val="UNIDAVISEOSECUNDARIA"/>
        <w:tabs>
          <w:tab w:val="left" w:pos="8505"/>
        </w:tabs>
        <w:ind w:left="284" w:right="284"/>
        <w:rPr>
          <w:lang w:val="pt-BR"/>
        </w:rPr>
      </w:pPr>
      <w:r>
        <w:rPr>
          <w:noProof/>
          <w:lang w:val="pt-BR" w:eastAsia="pt-BR"/>
        </w:rPr>
        <w:drawing>
          <wp:inline distT="0" distB="0" distL="0" distR="0" wp14:anchorId="1CF527C4" wp14:editId="5A91B72E">
            <wp:extent cx="5287618" cy="2464435"/>
            <wp:effectExtent l="0" t="0" r="8890" b="1206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C67F50" w14:textId="75D4F03D" w:rsidR="003F7DDA" w:rsidRDefault="003F7DDA" w:rsidP="005B1564">
      <w:pPr>
        <w:spacing w:after="160" w:line="360" w:lineRule="auto"/>
        <w:ind w:left="284" w:right="283"/>
        <w:contextualSpacing/>
        <w:rPr>
          <w:sz w:val="20"/>
        </w:rPr>
      </w:pPr>
      <w:r>
        <w:rPr>
          <w:sz w:val="20"/>
        </w:rPr>
        <w:t>F</w:t>
      </w:r>
      <w:r w:rsidR="00875BAB">
        <w:rPr>
          <w:sz w:val="20"/>
        </w:rPr>
        <w:t>onte: Dados da pesquisa (2021)</w:t>
      </w:r>
    </w:p>
    <w:p w14:paraId="161E016F" w14:textId="77777777" w:rsidR="00875BAB" w:rsidRDefault="00875BAB" w:rsidP="003C6000">
      <w:pPr>
        <w:spacing w:after="160" w:line="360" w:lineRule="auto"/>
        <w:ind w:left="284" w:right="283"/>
        <w:contextualSpacing/>
        <w:rPr>
          <w:sz w:val="20"/>
        </w:rPr>
      </w:pPr>
    </w:p>
    <w:p w14:paraId="14ED5A77" w14:textId="6EAD5D21" w:rsidR="003F7DDA" w:rsidRPr="00581EE5" w:rsidRDefault="003F7DDA" w:rsidP="003F7DDA">
      <w:pPr>
        <w:pStyle w:val="UnidaviTexto-Espao15"/>
      </w:pPr>
      <w:r>
        <w:lastRenderedPageBreak/>
        <w:t>C</w:t>
      </w:r>
      <w:r w:rsidR="00E7764C">
        <w:t>onforme apresentado o Gráfico 21</w:t>
      </w:r>
      <w:r>
        <w:t xml:space="preserve">, o valor maior ficou com empresas ME/EPP do Alto Vale do Itajaí representado por R$ 7.489.911,18. Em seguida </w:t>
      </w:r>
      <w:r w:rsidR="00B352E9">
        <w:t>ficaram as empresas ME/EPP do</w:t>
      </w:r>
      <w:r>
        <w:t xml:space="preserve"> município de Taió com um valor de 4.500.491,14 e as empresas de fora do Alto Vale do Itajaí representaram um valor de </w:t>
      </w:r>
      <w:r w:rsidR="005B1564">
        <w:t>3.202.946,36</w:t>
      </w:r>
      <w:r>
        <w:t xml:space="preserve">. Pode-se observar que </w:t>
      </w:r>
      <w:r w:rsidR="005B1564">
        <w:t>as empresas do Alto Vale do Itajaí tiveram o maior resultado no ano de 2019 com 49% do total</w:t>
      </w:r>
      <w:r>
        <w:t xml:space="preserve">, </w:t>
      </w:r>
      <w:r w:rsidR="00B352E9">
        <w:t xml:space="preserve">e </w:t>
      </w:r>
      <w:r>
        <w:t>ainda assim</w:t>
      </w:r>
      <w:r w:rsidR="00B352E9">
        <w:t>,</w:t>
      </w:r>
      <w:r>
        <w:t xml:space="preserve"> </w:t>
      </w:r>
      <w:r w:rsidR="005B1564">
        <w:t>30</w:t>
      </w:r>
      <w:r>
        <w:t>% do val</w:t>
      </w:r>
      <w:r w:rsidR="00D77D1C">
        <w:t>or total vencido pelas Microe</w:t>
      </w:r>
      <w:r>
        <w:t xml:space="preserve">mpresas e pelas Empresas de Pequeno Porte voltou para o Município de Taió </w:t>
      </w:r>
      <w:r w:rsidR="00B352E9">
        <w:t>através das empresas locais.</w:t>
      </w:r>
    </w:p>
    <w:p w14:paraId="4666F03B" w14:textId="352DBF81" w:rsidR="00AD0C0E" w:rsidRDefault="00AD0C0E" w:rsidP="00E7764C">
      <w:pPr>
        <w:pStyle w:val="UNIDAVISEOSECUNDARIA"/>
        <w:rPr>
          <w:lang w:val="pt-BR"/>
        </w:rPr>
      </w:pPr>
    </w:p>
    <w:p w14:paraId="568CA2BA" w14:textId="74F9AE8E" w:rsidR="00AD0C0E" w:rsidRDefault="00AD0C0E" w:rsidP="00AD0C0E">
      <w:pPr>
        <w:pStyle w:val="UNIDAVISEOSECUNDARIA"/>
      </w:pPr>
      <w:r>
        <w:t>4.4 licitações no município de taió – ano 2020</w:t>
      </w:r>
    </w:p>
    <w:p w14:paraId="29AA6836" w14:textId="442090C0" w:rsidR="007A083E" w:rsidRDefault="007A083E" w:rsidP="003C6000">
      <w:pPr>
        <w:pStyle w:val="UNIDAVISEOSECUNDARIA"/>
        <w:spacing w:line="360" w:lineRule="auto"/>
      </w:pPr>
    </w:p>
    <w:p w14:paraId="305DE27A" w14:textId="0EC9F24A" w:rsidR="005B1564" w:rsidRDefault="005B1564" w:rsidP="005B1564">
      <w:pPr>
        <w:pStyle w:val="UnidaviTexto-Espao15"/>
      </w:pPr>
      <w:r>
        <w:t>No ano de 2020</w:t>
      </w:r>
      <w:r w:rsidRPr="00B12D73">
        <w:t>, o município de Tai</w:t>
      </w:r>
      <w:r w:rsidR="00E373FA">
        <w:t>ó teve um total de 77</w:t>
      </w:r>
      <w:r w:rsidRPr="00B12D73">
        <w:t xml:space="preserve"> licitações homologadas</w:t>
      </w:r>
      <w:r>
        <w:t xml:space="preserve"> e todas foram para a prefeitura</w:t>
      </w:r>
      <w:r w:rsidRPr="00B12D73">
        <w:t>. Em relação aos valores, o valor de referência total informado no</w:t>
      </w:r>
      <w:r>
        <w:t>s editais foi</w:t>
      </w:r>
      <w:r w:rsidRPr="00B12D73">
        <w:t xml:space="preserve"> de R$ </w:t>
      </w:r>
      <w:r w:rsidR="00E373FA">
        <w:t>24.042.021,15</w:t>
      </w:r>
      <w:r>
        <w:t xml:space="preserve"> para o ano de</w:t>
      </w:r>
      <w:r w:rsidR="00E373FA">
        <w:t xml:space="preserve"> 2020</w:t>
      </w:r>
      <w:r w:rsidRPr="00B12D73">
        <w:t xml:space="preserve">, já o valor total que foi homologado, ou seja, pago pelo município foi o valor de R$ </w:t>
      </w:r>
      <w:r w:rsidR="00E373FA">
        <w:t>4.752.844,50</w:t>
      </w:r>
      <w:r w:rsidR="00E7764C">
        <w:t xml:space="preserve"> conforme apresentados na Tabela 16.</w:t>
      </w:r>
    </w:p>
    <w:p w14:paraId="638B651C" w14:textId="402AA2A2" w:rsidR="007A083E" w:rsidRDefault="007A083E" w:rsidP="00E7764C">
      <w:pPr>
        <w:pStyle w:val="UNIDAVISEOSECUNDARIA"/>
      </w:pPr>
    </w:p>
    <w:p w14:paraId="3EAE099A" w14:textId="14104810" w:rsidR="007A083E" w:rsidRPr="00875BAB" w:rsidRDefault="00543720" w:rsidP="00875BAB">
      <w:pPr>
        <w:ind w:left="284"/>
        <w:rPr>
          <w:b/>
          <w:sz w:val="20"/>
          <w:szCs w:val="20"/>
        </w:rPr>
      </w:pPr>
      <w:r w:rsidRPr="00875BAB">
        <w:rPr>
          <w:b/>
          <w:sz w:val="20"/>
          <w:szCs w:val="20"/>
        </w:rPr>
        <w:t>Tabela 16</w:t>
      </w:r>
      <w:r w:rsidR="007A083E" w:rsidRPr="00875BAB">
        <w:rPr>
          <w:b/>
          <w:sz w:val="20"/>
          <w:szCs w:val="20"/>
        </w:rPr>
        <w:t xml:space="preserve"> – Valor das licitações no ano 2020</w:t>
      </w:r>
    </w:p>
    <w:tbl>
      <w:tblPr>
        <w:tblW w:w="8272" w:type="dxa"/>
        <w:tblInd w:w="284" w:type="dxa"/>
        <w:tblCellMar>
          <w:left w:w="70" w:type="dxa"/>
          <w:right w:w="70" w:type="dxa"/>
        </w:tblCellMar>
        <w:tblLook w:val="04A0" w:firstRow="1" w:lastRow="0" w:firstColumn="1" w:lastColumn="0" w:noHBand="0" w:noVBand="1"/>
      </w:tblPr>
      <w:tblGrid>
        <w:gridCol w:w="1338"/>
        <w:gridCol w:w="1129"/>
        <w:gridCol w:w="870"/>
        <w:gridCol w:w="2468"/>
        <w:gridCol w:w="1451"/>
        <w:gridCol w:w="1016"/>
      </w:tblGrid>
      <w:tr w:rsidR="007A083E" w:rsidRPr="007A083E" w14:paraId="3F457511" w14:textId="77777777" w:rsidTr="00D85588">
        <w:trPr>
          <w:trHeight w:val="303"/>
        </w:trPr>
        <w:tc>
          <w:tcPr>
            <w:tcW w:w="1338" w:type="dxa"/>
            <w:tcBorders>
              <w:top w:val="single" w:sz="4" w:space="0" w:color="auto"/>
              <w:left w:val="nil"/>
              <w:bottom w:val="single" w:sz="4" w:space="0" w:color="auto"/>
              <w:right w:val="nil"/>
            </w:tcBorders>
            <w:shd w:val="clear" w:color="000000" w:fill="FFFFFF"/>
            <w:noWrap/>
            <w:vAlign w:val="center"/>
            <w:hideMark/>
          </w:tcPr>
          <w:p w14:paraId="1A590C0D" w14:textId="77777777" w:rsidR="007A083E" w:rsidRPr="007A083E" w:rsidRDefault="007A083E" w:rsidP="00D14FEE">
            <w:pPr>
              <w:ind w:left="-69"/>
              <w:rPr>
                <w:rFonts w:eastAsia="Times New Roman"/>
                <w:b/>
                <w:bCs/>
                <w:color w:val="000000"/>
                <w:sz w:val="20"/>
                <w:szCs w:val="20"/>
                <w:lang w:eastAsia="pt-BR"/>
              </w:rPr>
            </w:pPr>
            <w:r w:rsidRPr="007A083E">
              <w:rPr>
                <w:rFonts w:eastAsia="Times New Roman"/>
                <w:b/>
                <w:bCs/>
                <w:color w:val="000000"/>
                <w:sz w:val="20"/>
                <w:szCs w:val="20"/>
                <w:lang w:eastAsia="pt-BR"/>
              </w:rPr>
              <w:t>Homologadas</w:t>
            </w:r>
          </w:p>
        </w:tc>
        <w:tc>
          <w:tcPr>
            <w:tcW w:w="1129" w:type="dxa"/>
            <w:tcBorders>
              <w:top w:val="single" w:sz="4" w:space="0" w:color="auto"/>
              <w:left w:val="nil"/>
              <w:bottom w:val="single" w:sz="4" w:space="0" w:color="auto"/>
              <w:right w:val="nil"/>
            </w:tcBorders>
            <w:shd w:val="clear" w:color="000000" w:fill="FFFFFF"/>
            <w:noWrap/>
            <w:vAlign w:val="center"/>
            <w:hideMark/>
          </w:tcPr>
          <w:p w14:paraId="653003EB" w14:textId="77777777" w:rsidR="007A083E" w:rsidRPr="007A083E" w:rsidRDefault="007A083E" w:rsidP="007A083E">
            <w:pPr>
              <w:jc w:val="center"/>
              <w:rPr>
                <w:rFonts w:eastAsia="Times New Roman"/>
                <w:b/>
                <w:bCs/>
                <w:color w:val="000000"/>
                <w:sz w:val="20"/>
                <w:szCs w:val="20"/>
                <w:lang w:eastAsia="pt-BR"/>
              </w:rPr>
            </w:pPr>
            <w:r w:rsidRPr="007A083E">
              <w:rPr>
                <w:rFonts w:eastAsia="Times New Roman"/>
                <w:b/>
                <w:bCs/>
                <w:color w:val="000000"/>
                <w:sz w:val="20"/>
                <w:szCs w:val="20"/>
                <w:lang w:eastAsia="pt-BR"/>
              </w:rPr>
              <w:t>Total</w:t>
            </w:r>
          </w:p>
        </w:tc>
        <w:tc>
          <w:tcPr>
            <w:tcW w:w="870" w:type="dxa"/>
            <w:tcBorders>
              <w:top w:val="single" w:sz="4" w:space="0" w:color="auto"/>
              <w:left w:val="nil"/>
              <w:bottom w:val="single" w:sz="4" w:space="0" w:color="auto"/>
              <w:right w:val="nil"/>
            </w:tcBorders>
            <w:shd w:val="clear" w:color="000000" w:fill="FFFFFF"/>
            <w:noWrap/>
            <w:vAlign w:val="center"/>
            <w:hideMark/>
          </w:tcPr>
          <w:p w14:paraId="7E134D39" w14:textId="77777777" w:rsidR="007A083E" w:rsidRPr="007A083E" w:rsidRDefault="007A083E" w:rsidP="007A083E">
            <w:pPr>
              <w:jc w:val="center"/>
              <w:rPr>
                <w:rFonts w:eastAsia="Times New Roman"/>
                <w:b/>
                <w:bCs/>
                <w:color w:val="000000"/>
                <w:sz w:val="20"/>
                <w:szCs w:val="20"/>
                <w:lang w:eastAsia="pt-BR"/>
              </w:rPr>
            </w:pPr>
            <w:r w:rsidRPr="007A083E">
              <w:rPr>
                <w:rFonts w:eastAsia="Times New Roman"/>
                <w:b/>
                <w:bCs/>
                <w:color w:val="000000"/>
                <w:sz w:val="20"/>
                <w:szCs w:val="20"/>
                <w:lang w:eastAsia="pt-BR"/>
              </w:rPr>
              <w:t>%</w:t>
            </w:r>
          </w:p>
        </w:tc>
        <w:tc>
          <w:tcPr>
            <w:tcW w:w="2468" w:type="dxa"/>
            <w:tcBorders>
              <w:top w:val="single" w:sz="4" w:space="0" w:color="auto"/>
              <w:left w:val="nil"/>
              <w:bottom w:val="single" w:sz="4" w:space="0" w:color="auto"/>
              <w:right w:val="nil"/>
            </w:tcBorders>
            <w:shd w:val="clear" w:color="auto" w:fill="auto"/>
            <w:noWrap/>
            <w:vAlign w:val="center"/>
            <w:hideMark/>
          </w:tcPr>
          <w:p w14:paraId="45867167" w14:textId="77777777" w:rsidR="007A083E" w:rsidRPr="007A083E" w:rsidRDefault="007A083E" w:rsidP="007A083E">
            <w:pPr>
              <w:jc w:val="center"/>
              <w:rPr>
                <w:rFonts w:eastAsia="Times New Roman"/>
                <w:b/>
                <w:bCs/>
                <w:color w:val="000000"/>
                <w:sz w:val="20"/>
                <w:szCs w:val="20"/>
                <w:lang w:eastAsia="pt-BR"/>
              </w:rPr>
            </w:pPr>
            <w:r w:rsidRPr="007A083E">
              <w:rPr>
                <w:rFonts w:eastAsia="Times New Roman"/>
                <w:b/>
                <w:bCs/>
                <w:color w:val="000000"/>
                <w:sz w:val="20"/>
                <w:szCs w:val="20"/>
                <w:lang w:eastAsia="pt-BR"/>
              </w:rPr>
              <w:t>Classe</w:t>
            </w:r>
          </w:p>
        </w:tc>
        <w:tc>
          <w:tcPr>
            <w:tcW w:w="1451" w:type="dxa"/>
            <w:tcBorders>
              <w:top w:val="single" w:sz="4" w:space="0" w:color="auto"/>
              <w:left w:val="nil"/>
              <w:bottom w:val="single" w:sz="4" w:space="0" w:color="auto"/>
              <w:right w:val="nil"/>
            </w:tcBorders>
            <w:shd w:val="clear" w:color="000000" w:fill="FFFFFF"/>
            <w:noWrap/>
            <w:vAlign w:val="center"/>
            <w:hideMark/>
          </w:tcPr>
          <w:p w14:paraId="51B95342" w14:textId="77777777" w:rsidR="007A083E" w:rsidRPr="007A083E" w:rsidRDefault="007A083E" w:rsidP="007A083E">
            <w:pPr>
              <w:jc w:val="center"/>
              <w:rPr>
                <w:rFonts w:eastAsia="Times New Roman"/>
                <w:b/>
                <w:bCs/>
                <w:color w:val="000000"/>
                <w:sz w:val="20"/>
                <w:szCs w:val="20"/>
                <w:lang w:eastAsia="pt-BR"/>
              </w:rPr>
            </w:pPr>
            <w:r w:rsidRPr="007A083E">
              <w:rPr>
                <w:rFonts w:eastAsia="Times New Roman"/>
                <w:b/>
                <w:bCs/>
                <w:color w:val="000000"/>
                <w:sz w:val="20"/>
                <w:szCs w:val="20"/>
                <w:lang w:eastAsia="pt-BR"/>
              </w:rPr>
              <w:t>Valores:</w:t>
            </w:r>
          </w:p>
        </w:tc>
        <w:tc>
          <w:tcPr>
            <w:tcW w:w="1016" w:type="dxa"/>
            <w:tcBorders>
              <w:top w:val="single" w:sz="4" w:space="0" w:color="auto"/>
              <w:left w:val="nil"/>
              <w:bottom w:val="single" w:sz="4" w:space="0" w:color="auto"/>
              <w:right w:val="nil"/>
            </w:tcBorders>
            <w:shd w:val="clear" w:color="000000" w:fill="FFFFFF"/>
            <w:noWrap/>
            <w:vAlign w:val="center"/>
            <w:hideMark/>
          </w:tcPr>
          <w:p w14:paraId="4DBBF8D2" w14:textId="77777777" w:rsidR="007A083E" w:rsidRPr="007A083E" w:rsidRDefault="007A083E" w:rsidP="007A083E">
            <w:pPr>
              <w:jc w:val="center"/>
              <w:rPr>
                <w:rFonts w:eastAsia="Times New Roman"/>
                <w:b/>
                <w:bCs/>
                <w:color w:val="000000"/>
                <w:sz w:val="20"/>
                <w:szCs w:val="20"/>
                <w:lang w:eastAsia="pt-BR"/>
              </w:rPr>
            </w:pPr>
            <w:r w:rsidRPr="007A083E">
              <w:rPr>
                <w:rFonts w:eastAsia="Times New Roman"/>
                <w:b/>
                <w:bCs/>
                <w:color w:val="000000"/>
                <w:sz w:val="20"/>
                <w:szCs w:val="20"/>
                <w:lang w:eastAsia="pt-BR"/>
              </w:rPr>
              <w:t>%</w:t>
            </w:r>
          </w:p>
        </w:tc>
      </w:tr>
      <w:tr w:rsidR="007A083E" w:rsidRPr="007A083E" w14:paraId="256B504B" w14:textId="77777777" w:rsidTr="00D85588">
        <w:trPr>
          <w:trHeight w:val="303"/>
        </w:trPr>
        <w:tc>
          <w:tcPr>
            <w:tcW w:w="1338" w:type="dxa"/>
            <w:tcBorders>
              <w:top w:val="nil"/>
              <w:left w:val="nil"/>
              <w:bottom w:val="single" w:sz="4" w:space="0" w:color="auto"/>
              <w:right w:val="nil"/>
            </w:tcBorders>
            <w:shd w:val="clear" w:color="auto" w:fill="auto"/>
            <w:noWrap/>
            <w:vAlign w:val="center"/>
            <w:hideMark/>
          </w:tcPr>
          <w:p w14:paraId="66A8F2C7" w14:textId="77777777" w:rsidR="007A083E" w:rsidRPr="007A083E" w:rsidRDefault="007A083E" w:rsidP="00D14FEE">
            <w:pPr>
              <w:ind w:left="-69"/>
              <w:rPr>
                <w:rFonts w:eastAsia="Times New Roman"/>
                <w:color w:val="000000"/>
                <w:sz w:val="20"/>
                <w:szCs w:val="20"/>
                <w:lang w:eastAsia="pt-BR"/>
              </w:rPr>
            </w:pPr>
            <w:r w:rsidRPr="007A083E">
              <w:rPr>
                <w:rFonts w:eastAsia="Times New Roman"/>
                <w:color w:val="000000"/>
                <w:sz w:val="20"/>
                <w:szCs w:val="20"/>
                <w:lang w:eastAsia="pt-BR"/>
              </w:rPr>
              <w:t>Ano 2020</w:t>
            </w:r>
          </w:p>
        </w:tc>
        <w:tc>
          <w:tcPr>
            <w:tcW w:w="1129" w:type="dxa"/>
            <w:tcBorders>
              <w:top w:val="nil"/>
              <w:left w:val="nil"/>
              <w:bottom w:val="single" w:sz="4" w:space="0" w:color="auto"/>
              <w:right w:val="nil"/>
            </w:tcBorders>
            <w:shd w:val="clear" w:color="auto" w:fill="auto"/>
            <w:noWrap/>
            <w:vAlign w:val="center"/>
            <w:hideMark/>
          </w:tcPr>
          <w:p w14:paraId="7A76A1D1" w14:textId="77777777" w:rsidR="007A083E" w:rsidRPr="007A083E" w:rsidRDefault="007A083E" w:rsidP="007A083E">
            <w:pPr>
              <w:jc w:val="center"/>
              <w:rPr>
                <w:rFonts w:eastAsia="Times New Roman"/>
                <w:color w:val="000000"/>
                <w:sz w:val="20"/>
                <w:szCs w:val="20"/>
                <w:lang w:eastAsia="pt-BR"/>
              </w:rPr>
            </w:pPr>
            <w:r w:rsidRPr="007A083E">
              <w:rPr>
                <w:rFonts w:eastAsia="Times New Roman"/>
                <w:color w:val="000000"/>
                <w:sz w:val="20"/>
                <w:szCs w:val="20"/>
                <w:lang w:eastAsia="pt-BR"/>
              </w:rPr>
              <w:t>77</w:t>
            </w:r>
          </w:p>
        </w:tc>
        <w:tc>
          <w:tcPr>
            <w:tcW w:w="870" w:type="dxa"/>
            <w:tcBorders>
              <w:top w:val="nil"/>
              <w:left w:val="nil"/>
              <w:bottom w:val="single" w:sz="4" w:space="0" w:color="auto"/>
              <w:right w:val="nil"/>
            </w:tcBorders>
            <w:shd w:val="clear" w:color="000000" w:fill="FFFFFF"/>
            <w:noWrap/>
            <w:vAlign w:val="center"/>
            <w:hideMark/>
          </w:tcPr>
          <w:p w14:paraId="342AD3DA" w14:textId="77777777" w:rsidR="007A083E" w:rsidRPr="007A083E" w:rsidRDefault="007A083E" w:rsidP="007A083E">
            <w:pPr>
              <w:jc w:val="center"/>
              <w:rPr>
                <w:rFonts w:eastAsia="Times New Roman"/>
                <w:color w:val="000000"/>
                <w:sz w:val="20"/>
                <w:szCs w:val="20"/>
                <w:lang w:eastAsia="pt-BR"/>
              </w:rPr>
            </w:pPr>
            <w:r w:rsidRPr="007A083E">
              <w:rPr>
                <w:rFonts w:eastAsia="Times New Roman"/>
                <w:color w:val="000000"/>
                <w:sz w:val="20"/>
                <w:szCs w:val="20"/>
                <w:lang w:eastAsia="pt-BR"/>
              </w:rPr>
              <w:t>100%</w:t>
            </w:r>
          </w:p>
        </w:tc>
        <w:tc>
          <w:tcPr>
            <w:tcW w:w="2468" w:type="dxa"/>
            <w:tcBorders>
              <w:top w:val="nil"/>
              <w:left w:val="nil"/>
              <w:bottom w:val="single" w:sz="4" w:space="0" w:color="auto"/>
              <w:right w:val="nil"/>
            </w:tcBorders>
            <w:shd w:val="clear" w:color="000000" w:fill="FFFFFF"/>
            <w:noWrap/>
            <w:vAlign w:val="center"/>
            <w:hideMark/>
          </w:tcPr>
          <w:p w14:paraId="6A0E0EA9" w14:textId="77777777" w:rsidR="007A083E" w:rsidRPr="007A083E" w:rsidRDefault="007A083E" w:rsidP="007A083E">
            <w:pPr>
              <w:jc w:val="center"/>
              <w:rPr>
                <w:rFonts w:eastAsia="Times New Roman"/>
                <w:color w:val="000000"/>
                <w:sz w:val="20"/>
                <w:szCs w:val="20"/>
                <w:lang w:eastAsia="pt-BR"/>
              </w:rPr>
            </w:pPr>
            <w:r w:rsidRPr="007A083E">
              <w:rPr>
                <w:rFonts w:eastAsia="Times New Roman"/>
                <w:color w:val="000000"/>
                <w:sz w:val="20"/>
                <w:szCs w:val="20"/>
                <w:lang w:eastAsia="pt-BR"/>
              </w:rPr>
              <w:t>Referência</w:t>
            </w:r>
          </w:p>
        </w:tc>
        <w:tc>
          <w:tcPr>
            <w:tcW w:w="1451" w:type="dxa"/>
            <w:tcBorders>
              <w:top w:val="nil"/>
              <w:left w:val="nil"/>
              <w:bottom w:val="single" w:sz="4" w:space="0" w:color="auto"/>
              <w:right w:val="nil"/>
            </w:tcBorders>
            <w:shd w:val="clear" w:color="000000" w:fill="FFFFFF"/>
            <w:noWrap/>
            <w:vAlign w:val="center"/>
            <w:hideMark/>
          </w:tcPr>
          <w:p w14:paraId="385559A3" w14:textId="77777777" w:rsidR="007A083E" w:rsidRPr="007A083E" w:rsidRDefault="007A083E" w:rsidP="007A083E">
            <w:pPr>
              <w:jc w:val="center"/>
              <w:rPr>
                <w:rFonts w:eastAsia="Times New Roman"/>
                <w:color w:val="000000"/>
                <w:sz w:val="20"/>
                <w:szCs w:val="20"/>
                <w:lang w:eastAsia="pt-BR"/>
              </w:rPr>
            </w:pPr>
            <w:r w:rsidRPr="007A083E">
              <w:rPr>
                <w:rFonts w:eastAsia="Times New Roman"/>
                <w:color w:val="000000"/>
                <w:sz w:val="20"/>
                <w:szCs w:val="20"/>
                <w:lang w:eastAsia="pt-BR"/>
              </w:rPr>
              <w:t>24.042.021,15</w:t>
            </w:r>
          </w:p>
        </w:tc>
        <w:tc>
          <w:tcPr>
            <w:tcW w:w="1016" w:type="dxa"/>
            <w:tcBorders>
              <w:top w:val="nil"/>
              <w:left w:val="nil"/>
              <w:bottom w:val="single" w:sz="4" w:space="0" w:color="auto"/>
              <w:right w:val="nil"/>
            </w:tcBorders>
            <w:shd w:val="clear" w:color="000000" w:fill="FFFFFF"/>
            <w:noWrap/>
            <w:vAlign w:val="center"/>
            <w:hideMark/>
          </w:tcPr>
          <w:p w14:paraId="3D5C9FCD" w14:textId="77777777" w:rsidR="007A083E" w:rsidRPr="007A083E" w:rsidRDefault="007A083E" w:rsidP="007A083E">
            <w:pPr>
              <w:jc w:val="center"/>
              <w:rPr>
                <w:rFonts w:eastAsia="Times New Roman"/>
                <w:color w:val="000000"/>
                <w:sz w:val="20"/>
                <w:szCs w:val="20"/>
                <w:lang w:eastAsia="pt-BR"/>
              </w:rPr>
            </w:pPr>
            <w:r w:rsidRPr="007A083E">
              <w:rPr>
                <w:rFonts w:eastAsia="Times New Roman"/>
                <w:color w:val="000000"/>
                <w:sz w:val="20"/>
                <w:szCs w:val="20"/>
                <w:lang w:eastAsia="pt-BR"/>
              </w:rPr>
              <w:t>100%</w:t>
            </w:r>
          </w:p>
        </w:tc>
      </w:tr>
      <w:tr w:rsidR="007A083E" w:rsidRPr="007A083E" w14:paraId="5DFA7AFD" w14:textId="77777777" w:rsidTr="00D85588">
        <w:trPr>
          <w:trHeight w:val="303"/>
        </w:trPr>
        <w:tc>
          <w:tcPr>
            <w:tcW w:w="1338" w:type="dxa"/>
            <w:tcBorders>
              <w:top w:val="nil"/>
              <w:left w:val="nil"/>
              <w:bottom w:val="single" w:sz="4" w:space="0" w:color="auto"/>
              <w:right w:val="nil"/>
            </w:tcBorders>
            <w:shd w:val="clear" w:color="000000" w:fill="FFFFFF"/>
            <w:noWrap/>
            <w:vAlign w:val="center"/>
            <w:hideMark/>
          </w:tcPr>
          <w:p w14:paraId="20F41867" w14:textId="77777777" w:rsidR="007A083E" w:rsidRPr="007A083E" w:rsidRDefault="007A083E" w:rsidP="00D14FEE">
            <w:pPr>
              <w:ind w:left="-69"/>
              <w:rPr>
                <w:rFonts w:eastAsia="Times New Roman"/>
                <w:color w:val="000000"/>
                <w:sz w:val="20"/>
                <w:szCs w:val="20"/>
                <w:lang w:eastAsia="pt-BR"/>
              </w:rPr>
            </w:pPr>
            <w:r w:rsidRPr="007A083E">
              <w:rPr>
                <w:rFonts w:eastAsia="Times New Roman"/>
                <w:color w:val="000000"/>
                <w:sz w:val="20"/>
                <w:szCs w:val="20"/>
                <w:lang w:eastAsia="pt-BR"/>
              </w:rPr>
              <w:t>Prefeitura</w:t>
            </w:r>
          </w:p>
        </w:tc>
        <w:tc>
          <w:tcPr>
            <w:tcW w:w="1129" w:type="dxa"/>
            <w:tcBorders>
              <w:top w:val="nil"/>
              <w:left w:val="nil"/>
              <w:bottom w:val="single" w:sz="4" w:space="0" w:color="auto"/>
              <w:right w:val="nil"/>
            </w:tcBorders>
            <w:shd w:val="clear" w:color="000000" w:fill="FFFFFF"/>
            <w:noWrap/>
            <w:vAlign w:val="center"/>
            <w:hideMark/>
          </w:tcPr>
          <w:p w14:paraId="4F58E203" w14:textId="77777777" w:rsidR="007A083E" w:rsidRPr="007A083E" w:rsidRDefault="007A083E" w:rsidP="007A083E">
            <w:pPr>
              <w:jc w:val="center"/>
              <w:rPr>
                <w:rFonts w:eastAsia="Times New Roman"/>
                <w:color w:val="000000"/>
                <w:sz w:val="20"/>
                <w:szCs w:val="20"/>
                <w:lang w:eastAsia="pt-BR"/>
              </w:rPr>
            </w:pPr>
            <w:r w:rsidRPr="007A083E">
              <w:rPr>
                <w:rFonts w:eastAsia="Times New Roman"/>
                <w:color w:val="000000"/>
                <w:sz w:val="20"/>
                <w:szCs w:val="20"/>
                <w:lang w:eastAsia="pt-BR"/>
              </w:rPr>
              <w:t>77</w:t>
            </w:r>
          </w:p>
        </w:tc>
        <w:tc>
          <w:tcPr>
            <w:tcW w:w="870" w:type="dxa"/>
            <w:tcBorders>
              <w:top w:val="nil"/>
              <w:left w:val="nil"/>
              <w:bottom w:val="single" w:sz="4" w:space="0" w:color="auto"/>
              <w:right w:val="nil"/>
            </w:tcBorders>
            <w:shd w:val="clear" w:color="000000" w:fill="FFFFFF"/>
            <w:noWrap/>
            <w:vAlign w:val="center"/>
            <w:hideMark/>
          </w:tcPr>
          <w:p w14:paraId="1FE36894" w14:textId="77777777" w:rsidR="007A083E" w:rsidRPr="007A083E" w:rsidRDefault="007A083E" w:rsidP="007A083E">
            <w:pPr>
              <w:jc w:val="center"/>
              <w:rPr>
                <w:rFonts w:eastAsia="Times New Roman"/>
                <w:color w:val="000000"/>
                <w:sz w:val="20"/>
                <w:szCs w:val="20"/>
                <w:lang w:eastAsia="pt-BR"/>
              </w:rPr>
            </w:pPr>
            <w:r w:rsidRPr="007A083E">
              <w:rPr>
                <w:rFonts w:eastAsia="Times New Roman"/>
                <w:color w:val="000000"/>
                <w:sz w:val="20"/>
                <w:szCs w:val="20"/>
                <w:lang w:eastAsia="pt-BR"/>
              </w:rPr>
              <w:t>100%</w:t>
            </w:r>
          </w:p>
        </w:tc>
        <w:tc>
          <w:tcPr>
            <w:tcW w:w="2468" w:type="dxa"/>
            <w:tcBorders>
              <w:top w:val="nil"/>
              <w:left w:val="nil"/>
              <w:bottom w:val="single" w:sz="4" w:space="0" w:color="auto"/>
              <w:right w:val="nil"/>
            </w:tcBorders>
            <w:shd w:val="clear" w:color="000000" w:fill="FFFFFF"/>
            <w:noWrap/>
            <w:vAlign w:val="center"/>
            <w:hideMark/>
          </w:tcPr>
          <w:p w14:paraId="722FC749" w14:textId="77777777" w:rsidR="007A083E" w:rsidRPr="007A083E" w:rsidRDefault="007A083E" w:rsidP="007A083E">
            <w:pPr>
              <w:jc w:val="center"/>
              <w:rPr>
                <w:rFonts w:eastAsia="Times New Roman"/>
                <w:color w:val="000000"/>
                <w:sz w:val="20"/>
                <w:szCs w:val="20"/>
                <w:lang w:eastAsia="pt-BR"/>
              </w:rPr>
            </w:pPr>
            <w:r w:rsidRPr="007A083E">
              <w:rPr>
                <w:rFonts w:eastAsia="Times New Roman"/>
                <w:color w:val="000000"/>
                <w:sz w:val="20"/>
                <w:szCs w:val="20"/>
                <w:lang w:eastAsia="pt-BR"/>
              </w:rPr>
              <w:t>Homologados</w:t>
            </w:r>
          </w:p>
        </w:tc>
        <w:tc>
          <w:tcPr>
            <w:tcW w:w="1451" w:type="dxa"/>
            <w:tcBorders>
              <w:top w:val="nil"/>
              <w:left w:val="nil"/>
              <w:bottom w:val="single" w:sz="4" w:space="0" w:color="auto"/>
              <w:right w:val="nil"/>
            </w:tcBorders>
            <w:shd w:val="clear" w:color="000000" w:fill="FFFFFF"/>
            <w:noWrap/>
            <w:vAlign w:val="center"/>
            <w:hideMark/>
          </w:tcPr>
          <w:p w14:paraId="2DFD2D56" w14:textId="77777777" w:rsidR="007A083E" w:rsidRPr="007A083E" w:rsidRDefault="007A083E" w:rsidP="007A083E">
            <w:pPr>
              <w:jc w:val="center"/>
              <w:rPr>
                <w:rFonts w:eastAsia="Times New Roman"/>
                <w:color w:val="000000"/>
                <w:sz w:val="20"/>
                <w:szCs w:val="20"/>
                <w:lang w:eastAsia="pt-BR"/>
              </w:rPr>
            </w:pPr>
            <w:r w:rsidRPr="007A083E">
              <w:rPr>
                <w:rFonts w:eastAsia="Times New Roman"/>
                <w:color w:val="000000"/>
                <w:sz w:val="20"/>
                <w:szCs w:val="20"/>
                <w:lang w:eastAsia="pt-BR"/>
              </w:rPr>
              <w:t>19.289.176,65</w:t>
            </w:r>
          </w:p>
        </w:tc>
        <w:tc>
          <w:tcPr>
            <w:tcW w:w="1016" w:type="dxa"/>
            <w:tcBorders>
              <w:top w:val="nil"/>
              <w:left w:val="nil"/>
              <w:bottom w:val="single" w:sz="4" w:space="0" w:color="auto"/>
              <w:right w:val="nil"/>
            </w:tcBorders>
            <w:shd w:val="clear" w:color="000000" w:fill="FFFFFF"/>
            <w:noWrap/>
            <w:vAlign w:val="center"/>
            <w:hideMark/>
          </w:tcPr>
          <w:p w14:paraId="64C112C8" w14:textId="77777777" w:rsidR="007A083E" w:rsidRPr="007A083E" w:rsidRDefault="007A083E" w:rsidP="007A083E">
            <w:pPr>
              <w:jc w:val="center"/>
              <w:rPr>
                <w:rFonts w:eastAsia="Times New Roman"/>
                <w:color w:val="000000"/>
                <w:sz w:val="20"/>
                <w:szCs w:val="20"/>
                <w:lang w:eastAsia="pt-BR"/>
              </w:rPr>
            </w:pPr>
            <w:r w:rsidRPr="007A083E">
              <w:rPr>
                <w:rFonts w:eastAsia="Times New Roman"/>
                <w:color w:val="000000"/>
                <w:sz w:val="20"/>
                <w:szCs w:val="20"/>
                <w:lang w:eastAsia="pt-BR"/>
              </w:rPr>
              <w:t>70%</w:t>
            </w:r>
          </w:p>
        </w:tc>
      </w:tr>
      <w:tr w:rsidR="007A083E" w:rsidRPr="007A083E" w14:paraId="3E70E087" w14:textId="77777777" w:rsidTr="00D85588">
        <w:trPr>
          <w:trHeight w:val="303"/>
        </w:trPr>
        <w:tc>
          <w:tcPr>
            <w:tcW w:w="1338" w:type="dxa"/>
            <w:tcBorders>
              <w:top w:val="nil"/>
              <w:left w:val="nil"/>
              <w:bottom w:val="single" w:sz="4" w:space="0" w:color="auto"/>
              <w:right w:val="nil"/>
            </w:tcBorders>
            <w:shd w:val="clear" w:color="000000" w:fill="FFFFFF"/>
            <w:noWrap/>
            <w:vAlign w:val="center"/>
            <w:hideMark/>
          </w:tcPr>
          <w:p w14:paraId="6D4D312C" w14:textId="77777777" w:rsidR="007A083E" w:rsidRPr="007A083E" w:rsidRDefault="007A083E" w:rsidP="00D14FEE">
            <w:pPr>
              <w:ind w:left="-69"/>
              <w:rPr>
                <w:rFonts w:eastAsia="Times New Roman"/>
                <w:color w:val="000000"/>
                <w:sz w:val="20"/>
                <w:szCs w:val="20"/>
                <w:lang w:eastAsia="pt-BR"/>
              </w:rPr>
            </w:pPr>
            <w:r w:rsidRPr="007A083E">
              <w:rPr>
                <w:rFonts w:eastAsia="Times New Roman"/>
                <w:color w:val="000000"/>
                <w:sz w:val="20"/>
                <w:szCs w:val="20"/>
                <w:lang w:eastAsia="pt-BR"/>
              </w:rPr>
              <w:t>Câmara de Vereadores</w:t>
            </w:r>
          </w:p>
        </w:tc>
        <w:tc>
          <w:tcPr>
            <w:tcW w:w="1129" w:type="dxa"/>
            <w:tcBorders>
              <w:top w:val="nil"/>
              <w:left w:val="nil"/>
              <w:bottom w:val="single" w:sz="4" w:space="0" w:color="auto"/>
              <w:right w:val="nil"/>
            </w:tcBorders>
            <w:shd w:val="clear" w:color="000000" w:fill="FFFFFF"/>
            <w:noWrap/>
            <w:vAlign w:val="center"/>
            <w:hideMark/>
          </w:tcPr>
          <w:p w14:paraId="45644917" w14:textId="77777777" w:rsidR="007A083E" w:rsidRPr="007A083E" w:rsidRDefault="007A083E" w:rsidP="007A083E">
            <w:pPr>
              <w:jc w:val="center"/>
              <w:rPr>
                <w:rFonts w:eastAsia="Times New Roman"/>
                <w:color w:val="000000"/>
                <w:sz w:val="20"/>
                <w:szCs w:val="20"/>
                <w:lang w:eastAsia="pt-BR"/>
              </w:rPr>
            </w:pPr>
            <w:r w:rsidRPr="007A083E">
              <w:rPr>
                <w:rFonts w:eastAsia="Times New Roman"/>
                <w:color w:val="000000"/>
                <w:sz w:val="20"/>
                <w:szCs w:val="20"/>
                <w:lang w:eastAsia="pt-BR"/>
              </w:rPr>
              <w:t>0</w:t>
            </w:r>
          </w:p>
        </w:tc>
        <w:tc>
          <w:tcPr>
            <w:tcW w:w="870" w:type="dxa"/>
            <w:tcBorders>
              <w:top w:val="nil"/>
              <w:left w:val="nil"/>
              <w:bottom w:val="single" w:sz="4" w:space="0" w:color="auto"/>
              <w:right w:val="nil"/>
            </w:tcBorders>
            <w:shd w:val="clear" w:color="000000" w:fill="FFFFFF"/>
            <w:noWrap/>
            <w:vAlign w:val="center"/>
            <w:hideMark/>
          </w:tcPr>
          <w:p w14:paraId="3354C49C" w14:textId="77777777" w:rsidR="007A083E" w:rsidRPr="007A083E" w:rsidRDefault="007A083E" w:rsidP="007A083E">
            <w:pPr>
              <w:jc w:val="center"/>
              <w:rPr>
                <w:rFonts w:eastAsia="Times New Roman"/>
                <w:color w:val="000000"/>
                <w:sz w:val="20"/>
                <w:szCs w:val="20"/>
                <w:lang w:eastAsia="pt-BR"/>
              </w:rPr>
            </w:pPr>
            <w:r w:rsidRPr="007A083E">
              <w:rPr>
                <w:rFonts w:eastAsia="Times New Roman"/>
                <w:color w:val="000000"/>
                <w:sz w:val="20"/>
                <w:szCs w:val="20"/>
                <w:lang w:eastAsia="pt-BR"/>
              </w:rPr>
              <w:t>0%</w:t>
            </w:r>
          </w:p>
        </w:tc>
        <w:tc>
          <w:tcPr>
            <w:tcW w:w="2468" w:type="dxa"/>
            <w:tcBorders>
              <w:top w:val="nil"/>
              <w:left w:val="nil"/>
              <w:bottom w:val="single" w:sz="4" w:space="0" w:color="auto"/>
              <w:right w:val="nil"/>
            </w:tcBorders>
            <w:shd w:val="clear" w:color="000000" w:fill="FFFFFF"/>
            <w:noWrap/>
            <w:vAlign w:val="center"/>
            <w:hideMark/>
          </w:tcPr>
          <w:p w14:paraId="56075290" w14:textId="77777777" w:rsidR="007A083E" w:rsidRPr="007A083E" w:rsidRDefault="007A083E" w:rsidP="007A083E">
            <w:pPr>
              <w:jc w:val="center"/>
              <w:rPr>
                <w:rFonts w:eastAsia="Times New Roman"/>
                <w:color w:val="000000"/>
                <w:sz w:val="20"/>
                <w:szCs w:val="20"/>
                <w:lang w:eastAsia="pt-BR"/>
              </w:rPr>
            </w:pPr>
            <w:r w:rsidRPr="007A083E">
              <w:rPr>
                <w:rFonts w:eastAsia="Times New Roman"/>
                <w:color w:val="000000"/>
                <w:sz w:val="20"/>
                <w:szCs w:val="20"/>
                <w:lang w:eastAsia="pt-BR"/>
              </w:rPr>
              <w:t>Diferença/economia</w:t>
            </w:r>
          </w:p>
        </w:tc>
        <w:tc>
          <w:tcPr>
            <w:tcW w:w="1451" w:type="dxa"/>
            <w:tcBorders>
              <w:top w:val="nil"/>
              <w:left w:val="nil"/>
              <w:bottom w:val="single" w:sz="4" w:space="0" w:color="auto"/>
              <w:right w:val="nil"/>
            </w:tcBorders>
            <w:shd w:val="clear" w:color="000000" w:fill="FFFFFF"/>
            <w:noWrap/>
            <w:vAlign w:val="center"/>
            <w:hideMark/>
          </w:tcPr>
          <w:p w14:paraId="71F7397F" w14:textId="77777777" w:rsidR="007A083E" w:rsidRPr="007A083E" w:rsidRDefault="007A083E" w:rsidP="007A083E">
            <w:pPr>
              <w:jc w:val="center"/>
              <w:rPr>
                <w:rFonts w:eastAsia="Times New Roman"/>
                <w:color w:val="000000"/>
                <w:sz w:val="20"/>
                <w:szCs w:val="20"/>
                <w:lang w:eastAsia="pt-BR"/>
              </w:rPr>
            </w:pPr>
            <w:r w:rsidRPr="007A083E">
              <w:rPr>
                <w:rFonts w:eastAsia="Times New Roman"/>
                <w:color w:val="000000"/>
                <w:sz w:val="20"/>
                <w:szCs w:val="20"/>
                <w:lang w:eastAsia="pt-BR"/>
              </w:rPr>
              <w:t>4.752.844,50</w:t>
            </w:r>
          </w:p>
        </w:tc>
        <w:tc>
          <w:tcPr>
            <w:tcW w:w="1016" w:type="dxa"/>
            <w:tcBorders>
              <w:top w:val="nil"/>
              <w:left w:val="nil"/>
              <w:bottom w:val="single" w:sz="4" w:space="0" w:color="auto"/>
              <w:right w:val="nil"/>
            </w:tcBorders>
            <w:shd w:val="clear" w:color="000000" w:fill="FFFFFF"/>
            <w:noWrap/>
            <w:vAlign w:val="center"/>
            <w:hideMark/>
          </w:tcPr>
          <w:p w14:paraId="3465BF83" w14:textId="77777777" w:rsidR="007A083E" w:rsidRPr="007A083E" w:rsidRDefault="007A083E" w:rsidP="007A083E">
            <w:pPr>
              <w:jc w:val="center"/>
              <w:rPr>
                <w:rFonts w:eastAsia="Times New Roman"/>
                <w:color w:val="000000"/>
                <w:sz w:val="20"/>
                <w:szCs w:val="20"/>
                <w:lang w:eastAsia="pt-BR"/>
              </w:rPr>
            </w:pPr>
            <w:r w:rsidRPr="007A083E">
              <w:rPr>
                <w:rFonts w:eastAsia="Times New Roman"/>
                <w:color w:val="000000"/>
                <w:sz w:val="20"/>
                <w:szCs w:val="20"/>
                <w:lang w:eastAsia="pt-BR"/>
              </w:rPr>
              <w:t>30%</w:t>
            </w:r>
          </w:p>
        </w:tc>
      </w:tr>
    </w:tbl>
    <w:p w14:paraId="772C002B" w14:textId="544F81FF" w:rsidR="007A083E" w:rsidRDefault="00875BAB" w:rsidP="00875BAB">
      <w:pPr>
        <w:spacing w:after="160" w:line="259" w:lineRule="auto"/>
        <w:ind w:left="284"/>
        <w:rPr>
          <w:sz w:val="20"/>
          <w:szCs w:val="20"/>
        </w:rPr>
      </w:pPr>
      <w:r>
        <w:rPr>
          <w:sz w:val="20"/>
          <w:szCs w:val="20"/>
        </w:rPr>
        <w:t>Fonte: Dados da pesquisa (2021)</w:t>
      </w:r>
    </w:p>
    <w:p w14:paraId="738D77BC" w14:textId="77777777" w:rsidR="00875BAB" w:rsidRDefault="00875BAB" w:rsidP="00C90AFC">
      <w:pPr>
        <w:spacing w:after="160"/>
        <w:rPr>
          <w:sz w:val="20"/>
          <w:szCs w:val="20"/>
        </w:rPr>
      </w:pPr>
    </w:p>
    <w:p w14:paraId="76D0DB20" w14:textId="28ACDDA9" w:rsidR="00C55A91" w:rsidRDefault="00C55A91" w:rsidP="00C55A91">
      <w:pPr>
        <w:pStyle w:val="UnidaviTexto-Espao15"/>
      </w:pPr>
      <w:r>
        <w:t xml:space="preserve">Pode-se observar conforme a tabela 16, uma economia de R$ 4.752.844,50 ao longo do ano, pelo fato de existir o processo licitatório, que permite a disputa entre os participantes e, como consequência gera uma economia para a entidade requisitante, aqui representada pelo município de Taió. </w:t>
      </w:r>
    </w:p>
    <w:p w14:paraId="6DF0D153" w14:textId="47DA40A5" w:rsidR="006B4F46" w:rsidRDefault="006B4F46" w:rsidP="00C90AFC">
      <w:pPr>
        <w:pStyle w:val="UnidaviTexto-Espao15"/>
        <w:spacing w:line="240" w:lineRule="auto"/>
        <w:ind w:firstLine="0"/>
      </w:pPr>
    </w:p>
    <w:p w14:paraId="27B68E92" w14:textId="736944D2" w:rsidR="00543720" w:rsidRPr="00875BAB" w:rsidRDefault="00875BAB" w:rsidP="00875BAB">
      <w:pPr>
        <w:pStyle w:val="UnidaviTexto-Espao15"/>
        <w:spacing w:line="240" w:lineRule="auto"/>
        <w:ind w:left="426" w:hanging="142"/>
        <w:contextualSpacing/>
        <w:rPr>
          <w:b/>
          <w:sz w:val="20"/>
        </w:rPr>
      </w:pPr>
      <w:r w:rsidRPr="007F2776">
        <w:rPr>
          <w:b/>
          <w:sz w:val="20"/>
        </w:rPr>
        <w:t>Gr</w:t>
      </w:r>
      <w:r>
        <w:rPr>
          <w:b/>
          <w:sz w:val="20"/>
        </w:rPr>
        <w:t>áfico 22</w:t>
      </w:r>
      <w:r w:rsidRPr="007F2776">
        <w:rPr>
          <w:b/>
          <w:sz w:val="20"/>
        </w:rPr>
        <w:t xml:space="preserve"> – Valor total/</w:t>
      </w:r>
      <w:r>
        <w:rPr>
          <w:b/>
          <w:sz w:val="20"/>
        </w:rPr>
        <w:t>economia no ano 2020</w:t>
      </w:r>
    </w:p>
    <w:p w14:paraId="79F3454D" w14:textId="1D392906" w:rsidR="00543720" w:rsidRDefault="00C55A91" w:rsidP="00875BAB">
      <w:pPr>
        <w:pStyle w:val="UNIDAVISEOSECUNDARIA"/>
        <w:tabs>
          <w:tab w:val="left" w:pos="8505"/>
        </w:tabs>
        <w:ind w:left="284" w:right="284"/>
      </w:pPr>
      <w:r>
        <w:rPr>
          <w:noProof/>
          <w:lang w:val="pt-BR" w:eastAsia="pt-BR"/>
        </w:rPr>
        <w:drawing>
          <wp:inline distT="0" distB="0" distL="0" distR="0" wp14:anchorId="34E7839A" wp14:editId="32B11317">
            <wp:extent cx="5244860" cy="1868170"/>
            <wp:effectExtent l="0" t="0" r="13335" b="1778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7C274C" w14:textId="2B78C56C" w:rsidR="006D0C87" w:rsidRDefault="00BD73BB" w:rsidP="00C90AFC">
      <w:pPr>
        <w:pStyle w:val="UnidaviTexto-Espao15"/>
        <w:spacing w:line="240" w:lineRule="auto"/>
        <w:ind w:left="284" w:firstLine="0"/>
        <w:contextualSpacing/>
        <w:rPr>
          <w:sz w:val="20"/>
        </w:rPr>
      </w:pPr>
      <w:r>
        <w:rPr>
          <w:sz w:val="20"/>
        </w:rPr>
        <w:t>Fonte: Dados da pesquisa (2021)</w:t>
      </w:r>
    </w:p>
    <w:p w14:paraId="19B2C355" w14:textId="06674F52" w:rsidR="006D0C87" w:rsidRDefault="00C90AFC" w:rsidP="006D0C87">
      <w:pPr>
        <w:pStyle w:val="UnidaviTexto-Espao15"/>
      </w:pPr>
      <w:r>
        <w:lastRenderedPageBreak/>
        <w:t>O Gráfico 22 ilustra que c</w:t>
      </w:r>
      <w:r w:rsidR="006D0C87">
        <w:t>erca de 20% do valor de referência foi economizado no ano de 2020 e puderam ser realocados pela gestão pública do município, conforme as necessidades da população.</w:t>
      </w:r>
    </w:p>
    <w:p w14:paraId="5DA66CB1" w14:textId="60E10892" w:rsidR="00875BAB" w:rsidRDefault="00875BAB" w:rsidP="00C90AFC">
      <w:pPr>
        <w:pStyle w:val="UnidaviTexto-Espao15"/>
        <w:spacing w:line="240" w:lineRule="auto"/>
        <w:ind w:firstLine="0"/>
      </w:pPr>
    </w:p>
    <w:p w14:paraId="3412B7B6" w14:textId="27118156" w:rsidR="00875BAB" w:rsidRPr="00875BAB" w:rsidRDefault="00875BAB" w:rsidP="00875BAB">
      <w:pPr>
        <w:pStyle w:val="UnidaviTexto-Espao15"/>
        <w:spacing w:line="240" w:lineRule="auto"/>
        <w:ind w:left="284" w:firstLine="0"/>
        <w:contextualSpacing/>
        <w:rPr>
          <w:b/>
          <w:sz w:val="20"/>
        </w:rPr>
      </w:pPr>
      <w:r>
        <w:rPr>
          <w:b/>
          <w:sz w:val="20"/>
        </w:rPr>
        <w:t>Gráfico 23</w:t>
      </w:r>
      <w:r w:rsidRPr="007F2776">
        <w:rPr>
          <w:b/>
          <w:sz w:val="20"/>
        </w:rPr>
        <w:t xml:space="preserve"> – </w:t>
      </w:r>
      <w:r>
        <w:rPr>
          <w:b/>
          <w:sz w:val="20"/>
        </w:rPr>
        <w:t>Áreas de aplicação dos recursos no ano 2020</w:t>
      </w:r>
    </w:p>
    <w:p w14:paraId="79EB18EA" w14:textId="4B729507" w:rsidR="00012732" w:rsidRDefault="00CE5F9C" w:rsidP="008B03FD">
      <w:pPr>
        <w:pStyle w:val="UnidaviTexto-Espao15"/>
        <w:tabs>
          <w:tab w:val="left" w:pos="8364"/>
        </w:tabs>
        <w:spacing w:line="240" w:lineRule="auto"/>
        <w:ind w:left="284" w:right="284" w:firstLine="0"/>
      </w:pPr>
      <w:r>
        <w:rPr>
          <w:noProof/>
        </w:rPr>
        <w:drawing>
          <wp:inline distT="0" distB="0" distL="0" distR="0" wp14:anchorId="05CC1C24" wp14:editId="42DB9AA7">
            <wp:extent cx="5184475" cy="3265805"/>
            <wp:effectExtent l="0" t="0" r="16510" b="10795"/>
            <wp:docPr id="202" name="Gráfico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EA401E" w14:textId="77777777" w:rsidR="00012732" w:rsidRPr="001E0F72" w:rsidRDefault="00012732" w:rsidP="00012732">
      <w:pPr>
        <w:pStyle w:val="UnidaviTexto-Espao15"/>
        <w:spacing w:line="240" w:lineRule="auto"/>
        <w:ind w:left="284" w:firstLine="0"/>
        <w:contextualSpacing/>
        <w:rPr>
          <w:sz w:val="20"/>
        </w:rPr>
      </w:pPr>
      <w:r>
        <w:rPr>
          <w:sz w:val="20"/>
        </w:rPr>
        <w:t>Fonte: Elaborado pela autora</w:t>
      </w:r>
    </w:p>
    <w:p w14:paraId="73AAA579" w14:textId="77777777" w:rsidR="00012732" w:rsidRDefault="00012732" w:rsidP="003C6000">
      <w:pPr>
        <w:pStyle w:val="UnidaviTexto-Espao15"/>
      </w:pPr>
    </w:p>
    <w:p w14:paraId="2162BB12" w14:textId="2C30AE03" w:rsidR="00012732" w:rsidRDefault="00012732" w:rsidP="00012732">
      <w:pPr>
        <w:pStyle w:val="UnidaviTexto-Espao15"/>
      </w:pPr>
      <w:r>
        <w:t xml:space="preserve">As áreas de aplicação dos recursos </w:t>
      </w:r>
      <w:r w:rsidR="00C90AFC">
        <w:t>de acordo com o Gráfico 23</w:t>
      </w:r>
      <w:r w:rsidR="00C04996">
        <w:t xml:space="preserve">, </w:t>
      </w:r>
      <w:r>
        <w:t>foram especificadas nos editais em 2020 apenas como</w:t>
      </w:r>
      <w:r w:rsidR="00783A49">
        <w:t>:</w:t>
      </w:r>
      <w:r>
        <w:t xml:space="preserve"> fundo municipal de saúde, fundo municipal de assistência social, instituto de previdência social e município de Taió. Novamente não foram especificadas para quais secretarias os recursos foram enviados, </w:t>
      </w:r>
      <w:r w:rsidR="00783A49">
        <w:t>pois</w:t>
      </w:r>
      <w:r>
        <w:t xml:space="preserve"> </w:t>
      </w:r>
      <w:r w:rsidR="00783A49">
        <w:t>o organograma do município está</w:t>
      </w:r>
      <w:r>
        <w:t xml:space="preserve"> organizado de uma forma em que as compras são feitas pelo município e realocadas conforme as necessidades de cada secretaria. Por esse motivo a pesquisa tornou-se limitada, pelo fato de não poder especificar os valores aplicados em cada espécie de bens e/ou serviços contratados pela administração. </w:t>
      </w:r>
    </w:p>
    <w:p w14:paraId="79FC542A" w14:textId="1E6E4169" w:rsidR="006D0C87" w:rsidRDefault="006D0C87" w:rsidP="006D0C87">
      <w:pPr>
        <w:pStyle w:val="UnidaviTexto-Espao15"/>
      </w:pPr>
      <w:r>
        <w:t>Ao que se refere às modalidades de licitação, no a</w:t>
      </w:r>
      <w:r w:rsidR="0051727F">
        <w:t>no de 2020 foram utilizadas seis</w:t>
      </w:r>
      <w:r>
        <w:t xml:space="preserve"> </w:t>
      </w:r>
      <w:r w:rsidR="0051727F">
        <w:t>modalidades, mais as realizações feitas através de inexigibilidade e dispensa de licitação</w:t>
      </w:r>
      <w:r>
        <w:t xml:space="preserve">. Constatou-se que durante o ano, a </w:t>
      </w:r>
      <w:r w:rsidR="0051727F">
        <w:t xml:space="preserve">modalidade </w:t>
      </w:r>
      <w:r>
        <w:t>mais utilizada foi Pregão Presencial, representada por 52 das 77 licitações homologadas</w:t>
      </w:r>
      <w:r w:rsidR="00C04996">
        <w:t xml:space="preserve"> conforme apresenta a Tabela 17.</w:t>
      </w:r>
    </w:p>
    <w:p w14:paraId="135CCBE0" w14:textId="77777777" w:rsidR="00543720" w:rsidRDefault="00543720" w:rsidP="00C04996">
      <w:pPr>
        <w:pStyle w:val="UNIDAVISEOSECUNDARIA"/>
        <w:rPr>
          <w:lang w:val="pt-BR"/>
        </w:rPr>
      </w:pPr>
    </w:p>
    <w:p w14:paraId="10896B8B" w14:textId="31FB943C" w:rsidR="00543720" w:rsidRPr="00875BAB" w:rsidRDefault="00543720" w:rsidP="00BD73BB">
      <w:pPr>
        <w:pStyle w:val="UnidaviTexto-Espao15"/>
        <w:spacing w:line="240" w:lineRule="auto"/>
        <w:ind w:left="284" w:firstLine="0"/>
        <w:rPr>
          <w:b/>
          <w:sz w:val="20"/>
        </w:rPr>
      </w:pPr>
      <w:r w:rsidRPr="00875BAB">
        <w:rPr>
          <w:b/>
          <w:sz w:val="20"/>
        </w:rPr>
        <w:t>Tabela 17 – Descritivo das modalidades de licitação no ano 2020</w:t>
      </w:r>
    </w:p>
    <w:tbl>
      <w:tblPr>
        <w:tblW w:w="8221" w:type="dxa"/>
        <w:tblInd w:w="284" w:type="dxa"/>
        <w:tblCellMar>
          <w:left w:w="70" w:type="dxa"/>
          <w:right w:w="70" w:type="dxa"/>
        </w:tblCellMar>
        <w:tblLook w:val="04A0" w:firstRow="1" w:lastRow="0" w:firstColumn="1" w:lastColumn="0" w:noHBand="0" w:noVBand="1"/>
      </w:tblPr>
      <w:tblGrid>
        <w:gridCol w:w="2322"/>
        <w:gridCol w:w="1935"/>
        <w:gridCol w:w="1698"/>
        <w:gridCol w:w="2266"/>
      </w:tblGrid>
      <w:tr w:rsidR="00543720" w:rsidRPr="00543720" w14:paraId="1ABFD248" w14:textId="77777777" w:rsidTr="00875BAB">
        <w:trPr>
          <w:trHeight w:val="307"/>
        </w:trPr>
        <w:tc>
          <w:tcPr>
            <w:tcW w:w="2322" w:type="dxa"/>
            <w:tcBorders>
              <w:top w:val="single" w:sz="4" w:space="0" w:color="auto"/>
              <w:left w:val="nil"/>
              <w:bottom w:val="single" w:sz="4" w:space="0" w:color="auto"/>
              <w:right w:val="nil"/>
            </w:tcBorders>
            <w:shd w:val="clear" w:color="000000" w:fill="FFFFFF"/>
            <w:noWrap/>
            <w:vAlign w:val="bottom"/>
            <w:hideMark/>
          </w:tcPr>
          <w:p w14:paraId="5A4840E7" w14:textId="77777777" w:rsidR="00543720" w:rsidRPr="00543720" w:rsidRDefault="00543720" w:rsidP="003C6000">
            <w:pPr>
              <w:ind w:left="-69"/>
              <w:rPr>
                <w:rFonts w:eastAsia="Times New Roman"/>
                <w:b/>
                <w:bCs/>
                <w:color w:val="000000"/>
                <w:sz w:val="20"/>
                <w:szCs w:val="20"/>
                <w:lang w:eastAsia="pt-BR"/>
              </w:rPr>
            </w:pPr>
            <w:r w:rsidRPr="00543720">
              <w:rPr>
                <w:rFonts w:eastAsia="Times New Roman"/>
                <w:b/>
                <w:bCs/>
                <w:color w:val="000000"/>
                <w:sz w:val="20"/>
                <w:szCs w:val="20"/>
                <w:lang w:eastAsia="pt-BR"/>
              </w:rPr>
              <w:t>Modalidades</w:t>
            </w:r>
          </w:p>
        </w:tc>
        <w:tc>
          <w:tcPr>
            <w:tcW w:w="1935" w:type="dxa"/>
            <w:tcBorders>
              <w:top w:val="single" w:sz="4" w:space="0" w:color="auto"/>
              <w:left w:val="nil"/>
              <w:bottom w:val="single" w:sz="4" w:space="0" w:color="auto"/>
              <w:right w:val="nil"/>
            </w:tcBorders>
            <w:shd w:val="clear" w:color="000000" w:fill="FFFFFF"/>
            <w:noWrap/>
            <w:vAlign w:val="bottom"/>
            <w:hideMark/>
          </w:tcPr>
          <w:p w14:paraId="20EED548" w14:textId="77777777" w:rsidR="00543720" w:rsidRPr="00543720" w:rsidRDefault="00543720" w:rsidP="00543720">
            <w:pPr>
              <w:jc w:val="center"/>
              <w:rPr>
                <w:rFonts w:eastAsia="Times New Roman"/>
                <w:b/>
                <w:bCs/>
                <w:color w:val="000000"/>
                <w:sz w:val="20"/>
                <w:szCs w:val="20"/>
                <w:lang w:eastAsia="pt-BR"/>
              </w:rPr>
            </w:pPr>
            <w:r w:rsidRPr="00543720">
              <w:rPr>
                <w:rFonts w:eastAsia="Times New Roman"/>
                <w:b/>
                <w:bCs/>
                <w:color w:val="000000"/>
                <w:sz w:val="20"/>
                <w:szCs w:val="20"/>
                <w:lang w:eastAsia="pt-BR"/>
              </w:rPr>
              <w:t>Licitações</w:t>
            </w:r>
          </w:p>
        </w:tc>
        <w:tc>
          <w:tcPr>
            <w:tcW w:w="1698" w:type="dxa"/>
            <w:tcBorders>
              <w:top w:val="single" w:sz="4" w:space="0" w:color="auto"/>
              <w:left w:val="nil"/>
              <w:bottom w:val="single" w:sz="4" w:space="0" w:color="auto"/>
              <w:right w:val="nil"/>
            </w:tcBorders>
            <w:shd w:val="clear" w:color="000000" w:fill="FFFFFF"/>
            <w:noWrap/>
            <w:vAlign w:val="bottom"/>
            <w:hideMark/>
          </w:tcPr>
          <w:p w14:paraId="0578EC33" w14:textId="77777777" w:rsidR="00543720" w:rsidRPr="00543720" w:rsidRDefault="00543720" w:rsidP="00543720">
            <w:pPr>
              <w:jc w:val="center"/>
              <w:rPr>
                <w:rFonts w:eastAsia="Times New Roman"/>
                <w:b/>
                <w:bCs/>
                <w:color w:val="000000"/>
                <w:sz w:val="20"/>
                <w:szCs w:val="20"/>
                <w:lang w:eastAsia="pt-BR"/>
              </w:rPr>
            </w:pPr>
            <w:r w:rsidRPr="00543720">
              <w:rPr>
                <w:rFonts w:eastAsia="Times New Roman"/>
                <w:b/>
                <w:bCs/>
                <w:color w:val="000000"/>
                <w:sz w:val="20"/>
                <w:szCs w:val="20"/>
                <w:lang w:eastAsia="pt-BR"/>
              </w:rPr>
              <w:t>%</w:t>
            </w:r>
          </w:p>
        </w:tc>
        <w:tc>
          <w:tcPr>
            <w:tcW w:w="2266" w:type="dxa"/>
            <w:tcBorders>
              <w:top w:val="single" w:sz="4" w:space="0" w:color="auto"/>
              <w:left w:val="nil"/>
              <w:bottom w:val="single" w:sz="4" w:space="0" w:color="auto"/>
              <w:right w:val="nil"/>
            </w:tcBorders>
            <w:shd w:val="clear" w:color="000000" w:fill="FFFFFF"/>
            <w:noWrap/>
            <w:vAlign w:val="bottom"/>
            <w:hideMark/>
          </w:tcPr>
          <w:p w14:paraId="0B0A071E" w14:textId="77777777" w:rsidR="00543720" w:rsidRPr="00543720" w:rsidRDefault="00543720" w:rsidP="00543720">
            <w:pPr>
              <w:jc w:val="center"/>
              <w:rPr>
                <w:rFonts w:eastAsia="Times New Roman"/>
                <w:b/>
                <w:bCs/>
                <w:color w:val="000000"/>
                <w:sz w:val="20"/>
                <w:szCs w:val="20"/>
                <w:lang w:eastAsia="pt-BR"/>
              </w:rPr>
            </w:pPr>
            <w:r w:rsidRPr="00543720">
              <w:rPr>
                <w:rFonts w:eastAsia="Times New Roman"/>
                <w:b/>
                <w:bCs/>
                <w:color w:val="000000"/>
                <w:sz w:val="20"/>
                <w:szCs w:val="20"/>
                <w:lang w:eastAsia="pt-BR"/>
              </w:rPr>
              <w:t xml:space="preserve"> Valor </w:t>
            </w:r>
          </w:p>
        </w:tc>
      </w:tr>
      <w:tr w:rsidR="00543720" w:rsidRPr="00543720" w14:paraId="6EA3B1C6" w14:textId="77777777" w:rsidTr="00875BAB">
        <w:trPr>
          <w:trHeight w:val="307"/>
        </w:trPr>
        <w:tc>
          <w:tcPr>
            <w:tcW w:w="2322" w:type="dxa"/>
            <w:tcBorders>
              <w:top w:val="nil"/>
              <w:left w:val="nil"/>
              <w:bottom w:val="single" w:sz="4" w:space="0" w:color="auto"/>
              <w:right w:val="nil"/>
            </w:tcBorders>
            <w:shd w:val="clear" w:color="000000" w:fill="FFFFFF"/>
            <w:noWrap/>
            <w:vAlign w:val="bottom"/>
            <w:hideMark/>
          </w:tcPr>
          <w:p w14:paraId="4BF2D977" w14:textId="77777777" w:rsidR="00543720" w:rsidRPr="00543720" w:rsidRDefault="00543720" w:rsidP="003C6000">
            <w:pPr>
              <w:ind w:left="-69"/>
              <w:rPr>
                <w:rFonts w:eastAsia="Times New Roman"/>
                <w:color w:val="000000"/>
                <w:sz w:val="20"/>
                <w:szCs w:val="20"/>
                <w:lang w:eastAsia="pt-BR"/>
              </w:rPr>
            </w:pPr>
            <w:r w:rsidRPr="00543720">
              <w:rPr>
                <w:rFonts w:eastAsia="Times New Roman"/>
                <w:color w:val="000000"/>
                <w:sz w:val="20"/>
                <w:szCs w:val="20"/>
                <w:lang w:eastAsia="pt-BR"/>
              </w:rPr>
              <w:t>Convite</w:t>
            </w:r>
          </w:p>
        </w:tc>
        <w:tc>
          <w:tcPr>
            <w:tcW w:w="1935" w:type="dxa"/>
            <w:tcBorders>
              <w:top w:val="nil"/>
              <w:left w:val="nil"/>
              <w:bottom w:val="single" w:sz="4" w:space="0" w:color="auto"/>
              <w:right w:val="nil"/>
            </w:tcBorders>
            <w:shd w:val="clear" w:color="000000" w:fill="FFFFFF"/>
            <w:noWrap/>
            <w:vAlign w:val="bottom"/>
            <w:hideMark/>
          </w:tcPr>
          <w:p w14:paraId="3E8D84BF"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5</w:t>
            </w:r>
          </w:p>
        </w:tc>
        <w:tc>
          <w:tcPr>
            <w:tcW w:w="1698" w:type="dxa"/>
            <w:tcBorders>
              <w:top w:val="nil"/>
              <w:left w:val="nil"/>
              <w:bottom w:val="single" w:sz="4" w:space="0" w:color="auto"/>
              <w:right w:val="nil"/>
            </w:tcBorders>
            <w:shd w:val="clear" w:color="000000" w:fill="FFFFFF"/>
            <w:noWrap/>
            <w:vAlign w:val="bottom"/>
            <w:hideMark/>
          </w:tcPr>
          <w:p w14:paraId="562A570C"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6%</w:t>
            </w:r>
          </w:p>
        </w:tc>
        <w:tc>
          <w:tcPr>
            <w:tcW w:w="2266" w:type="dxa"/>
            <w:tcBorders>
              <w:top w:val="nil"/>
              <w:left w:val="nil"/>
              <w:bottom w:val="single" w:sz="4" w:space="0" w:color="auto"/>
              <w:right w:val="nil"/>
            </w:tcBorders>
            <w:shd w:val="clear" w:color="000000" w:fill="FFFFFF"/>
            <w:noWrap/>
            <w:vAlign w:val="bottom"/>
            <w:hideMark/>
          </w:tcPr>
          <w:p w14:paraId="315A4206"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361.149,13</w:t>
            </w:r>
          </w:p>
        </w:tc>
      </w:tr>
      <w:tr w:rsidR="00543720" w:rsidRPr="00543720" w14:paraId="200017ED" w14:textId="77777777" w:rsidTr="00C04996">
        <w:trPr>
          <w:trHeight w:val="307"/>
        </w:trPr>
        <w:tc>
          <w:tcPr>
            <w:tcW w:w="2322" w:type="dxa"/>
            <w:tcBorders>
              <w:top w:val="nil"/>
              <w:left w:val="nil"/>
              <w:bottom w:val="single" w:sz="4" w:space="0" w:color="auto"/>
              <w:right w:val="nil"/>
            </w:tcBorders>
            <w:shd w:val="clear" w:color="000000" w:fill="FFFFFF"/>
            <w:noWrap/>
            <w:vAlign w:val="bottom"/>
            <w:hideMark/>
          </w:tcPr>
          <w:p w14:paraId="18E7F1B8" w14:textId="77777777" w:rsidR="00543720" w:rsidRPr="00543720" w:rsidRDefault="00543720" w:rsidP="003C6000">
            <w:pPr>
              <w:ind w:left="-69"/>
              <w:rPr>
                <w:rFonts w:eastAsia="Times New Roman"/>
                <w:color w:val="000000"/>
                <w:sz w:val="20"/>
                <w:szCs w:val="20"/>
                <w:lang w:eastAsia="pt-BR"/>
              </w:rPr>
            </w:pPr>
            <w:r w:rsidRPr="00543720">
              <w:rPr>
                <w:rFonts w:eastAsia="Times New Roman"/>
                <w:color w:val="000000"/>
                <w:sz w:val="20"/>
                <w:szCs w:val="20"/>
                <w:lang w:eastAsia="pt-BR"/>
              </w:rPr>
              <w:t>Concorrência</w:t>
            </w:r>
          </w:p>
        </w:tc>
        <w:tc>
          <w:tcPr>
            <w:tcW w:w="1935" w:type="dxa"/>
            <w:tcBorders>
              <w:top w:val="nil"/>
              <w:left w:val="nil"/>
              <w:bottom w:val="single" w:sz="4" w:space="0" w:color="auto"/>
              <w:right w:val="nil"/>
            </w:tcBorders>
            <w:shd w:val="clear" w:color="000000" w:fill="FFFFFF"/>
            <w:noWrap/>
            <w:vAlign w:val="bottom"/>
            <w:hideMark/>
          </w:tcPr>
          <w:p w14:paraId="1530CBD4"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5</w:t>
            </w:r>
          </w:p>
        </w:tc>
        <w:tc>
          <w:tcPr>
            <w:tcW w:w="1698" w:type="dxa"/>
            <w:tcBorders>
              <w:top w:val="nil"/>
              <w:left w:val="nil"/>
              <w:bottom w:val="single" w:sz="4" w:space="0" w:color="auto"/>
              <w:right w:val="nil"/>
            </w:tcBorders>
            <w:shd w:val="clear" w:color="000000" w:fill="FFFFFF"/>
            <w:noWrap/>
            <w:vAlign w:val="bottom"/>
            <w:hideMark/>
          </w:tcPr>
          <w:p w14:paraId="0C084F66"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6%</w:t>
            </w:r>
          </w:p>
        </w:tc>
        <w:tc>
          <w:tcPr>
            <w:tcW w:w="2266" w:type="dxa"/>
            <w:tcBorders>
              <w:top w:val="nil"/>
              <w:left w:val="nil"/>
              <w:bottom w:val="single" w:sz="4" w:space="0" w:color="auto"/>
              <w:right w:val="nil"/>
            </w:tcBorders>
            <w:shd w:val="clear" w:color="000000" w:fill="FFFFFF"/>
            <w:noWrap/>
            <w:vAlign w:val="bottom"/>
            <w:hideMark/>
          </w:tcPr>
          <w:p w14:paraId="35DAA531"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1.397.658,69</w:t>
            </w:r>
          </w:p>
        </w:tc>
      </w:tr>
      <w:tr w:rsidR="00543720" w:rsidRPr="00543720" w14:paraId="55452E4A" w14:textId="77777777" w:rsidTr="00C04996">
        <w:trPr>
          <w:trHeight w:val="307"/>
        </w:trPr>
        <w:tc>
          <w:tcPr>
            <w:tcW w:w="2322" w:type="dxa"/>
            <w:tcBorders>
              <w:top w:val="single" w:sz="4" w:space="0" w:color="auto"/>
              <w:left w:val="nil"/>
              <w:bottom w:val="single" w:sz="4" w:space="0" w:color="auto"/>
              <w:right w:val="nil"/>
            </w:tcBorders>
            <w:shd w:val="clear" w:color="000000" w:fill="FFFFFF"/>
            <w:noWrap/>
            <w:vAlign w:val="bottom"/>
            <w:hideMark/>
          </w:tcPr>
          <w:p w14:paraId="3EA2B1BE" w14:textId="77777777" w:rsidR="00543720" w:rsidRPr="00543720" w:rsidRDefault="00543720" w:rsidP="003C6000">
            <w:pPr>
              <w:ind w:left="-69"/>
              <w:rPr>
                <w:rFonts w:eastAsia="Times New Roman"/>
                <w:color w:val="000000"/>
                <w:sz w:val="20"/>
                <w:szCs w:val="20"/>
                <w:lang w:eastAsia="pt-BR"/>
              </w:rPr>
            </w:pPr>
            <w:r w:rsidRPr="00543720">
              <w:rPr>
                <w:rFonts w:eastAsia="Times New Roman"/>
                <w:color w:val="000000"/>
                <w:sz w:val="20"/>
                <w:szCs w:val="20"/>
                <w:lang w:eastAsia="pt-BR"/>
              </w:rPr>
              <w:lastRenderedPageBreak/>
              <w:t>Dispensa</w:t>
            </w:r>
          </w:p>
        </w:tc>
        <w:tc>
          <w:tcPr>
            <w:tcW w:w="1935" w:type="dxa"/>
            <w:tcBorders>
              <w:top w:val="single" w:sz="4" w:space="0" w:color="auto"/>
              <w:left w:val="nil"/>
              <w:bottom w:val="single" w:sz="4" w:space="0" w:color="auto"/>
              <w:right w:val="nil"/>
            </w:tcBorders>
            <w:shd w:val="clear" w:color="000000" w:fill="FFFFFF"/>
            <w:noWrap/>
            <w:vAlign w:val="bottom"/>
            <w:hideMark/>
          </w:tcPr>
          <w:p w14:paraId="0289AD47"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1</w:t>
            </w:r>
          </w:p>
        </w:tc>
        <w:tc>
          <w:tcPr>
            <w:tcW w:w="1698" w:type="dxa"/>
            <w:tcBorders>
              <w:top w:val="single" w:sz="4" w:space="0" w:color="auto"/>
              <w:left w:val="nil"/>
              <w:bottom w:val="single" w:sz="4" w:space="0" w:color="auto"/>
              <w:right w:val="nil"/>
            </w:tcBorders>
            <w:shd w:val="clear" w:color="000000" w:fill="FFFFFF"/>
            <w:noWrap/>
            <w:vAlign w:val="bottom"/>
            <w:hideMark/>
          </w:tcPr>
          <w:p w14:paraId="76C93BCE"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1%</w:t>
            </w:r>
          </w:p>
        </w:tc>
        <w:tc>
          <w:tcPr>
            <w:tcW w:w="2266" w:type="dxa"/>
            <w:tcBorders>
              <w:top w:val="single" w:sz="4" w:space="0" w:color="auto"/>
              <w:left w:val="nil"/>
              <w:bottom w:val="single" w:sz="4" w:space="0" w:color="auto"/>
              <w:right w:val="nil"/>
            </w:tcBorders>
            <w:shd w:val="clear" w:color="000000" w:fill="FFFFFF"/>
            <w:noWrap/>
            <w:vAlign w:val="bottom"/>
            <w:hideMark/>
          </w:tcPr>
          <w:p w14:paraId="210844D4"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170.000,00</w:t>
            </w:r>
          </w:p>
        </w:tc>
      </w:tr>
      <w:tr w:rsidR="00543720" w:rsidRPr="00543720" w14:paraId="204CF37C" w14:textId="77777777" w:rsidTr="00875BAB">
        <w:trPr>
          <w:trHeight w:val="307"/>
        </w:trPr>
        <w:tc>
          <w:tcPr>
            <w:tcW w:w="2322" w:type="dxa"/>
            <w:tcBorders>
              <w:top w:val="nil"/>
              <w:left w:val="nil"/>
              <w:bottom w:val="single" w:sz="4" w:space="0" w:color="auto"/>
              <w:right w:val="nil"/>
            </w:tcBorders>
            <w:shd w:val="clear" w:color="000000" w:fill="FFFFFF"/>
            <w:noWrap/>
            <w:vAlign w:val="bottom"/>
            <w:hideMark/>
          </w:tcPr>
          <w:p w14:paraId="5A0DAC57" w14:textId="77777777" w:rsidR="00543720" w:rsidRPr="00543720" w:rsidRDefault="00543720" w:rsidP="003C6000">
            <w:pPr>
              <w:ind w:left="-69"/>
              <w:rPr>
                <w:rFonts w:eastAsia="Times New Roman"/>
                <w:color w:val="000000"/>
                <w:sz w:val="20"/>
                <w:szCs w:val="20"/>
                <w:lang w:eastAsia="pt-BR"/>
              </w:rPr>
            </w:pPr>
            <w:r w:rsidRPr="00543720">
              <w:rPr>
                <w:rFonts w:eastAsia="Times New Roman"/>
                <w:color w:val="000000"/>
                <w:sz w:val="20"/>
                <w:szCs w:val="20"/>
                <w:lang w:eastAsia="pt-BR"/>
              </w:rPr>
              <w:t>Inexigibilidade</w:t>
            </w:r>
          </w:p>
        </w:tc>
        <w:tc>
          <w:tcPr>
            <w:tcW w:w="1935" w:type="dxa"/>
            <w:tcBorders>
              <w:top w:val="nil"/>
              <w:left w:val="nil"/>
              <w:bottom w:val="single" w:sz="4" w:space="0" w:color="auto"/>
              <w:right w:val="nil"/>
            </w:tcBorders>
            <w:shd w:val="clear" w:color="000000" w:fill="FFFFFF"/>
            <w:noWrap/>
            <w:vAlign w:val="bottom"/>
            <w:hideMark/>
          </w:tcPr>
          <w:p w14:paraId="59996F2E"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2</w:t>
            </w:r>
          </w:p>
        </w:tc>
        <w:tc>
          <w:tcPr>
            <w:tcW w:w="1698" w:type="dxa"/>
            <w:tcBorders>
              <w:top w:val="nil"/>
              <w:left w:val="nil"/>
              <w:bottom w:val="single" w:sz="4" w:space="0" w:color="auto"/>
              <w:right w:val="nil"/>
            </w:tcBorders>
            <w:shd w:val="clear" w:color="000000" w:fill="FFFFFF"/>
            <w:noWrap/>
            <w:vAlign w:val="bottom"/>
            <w:hideMark/>
          </w:tcPr>
          <w:p w14:paraId="6E4B0EED"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3%</w:t>
            </w:r>
          </w:p>
        </w:tc>
        <w:tc>
          <w:tcPr>
            <w:tcW w:w="2266" w:type="dxa"/>
            <w:tcBorders>
              <w:top w:val="nil"/>
              <w:left w:val="nil"/>
              <w:bottom w:val="single" w:sz="4" w:space="0" w:color="auto"/>
              <w:right w:val="nil"/>
            </w:tcBorders>
            <w:shd w:val="clear" w:color="000000" w:fill="FFFFFF"/>
            <w:noWrap/>
            <w:vAlign w:val="bottom"/>
            <w:hideMark/>
          </w:tcPr>
          <w:p w14:paraId="5088846C"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238.000,00</w:t>
            </w:r>
          </w:p>
        </w:tc>
      </w:tr>
      <w:tr w:rsidR="00543720" w:rsidRPr="00543720" w14:paraId="7144BFA4" w14:textId="77777777" w:rsidTr="00875BAB">
        <w:trPr>
          <w:trHeight w:val="307"/>
        </w:trPr>
        <w:tc>
          <w:tcPr>
            <w:tcW w:w="2322" w:type="dxa"/>
            <w:tcBorders>
              <w:top w:val="nil"/>
              <w:left w:val="nil"/>
              <w:bottom w:val="single" w:sz="4" w:space="0" w:color="auto"/>
              <w:right w:val="nil"/>
            </w:tcBorders>
            <w:shd w:val="clear" w:color="000000" w:fill="FFFFFF"/>
            <w:noWrap/>
            <w:vAlign w:val="bottom"/>
            <w:hideMark/>
          </w:tcPr>
          <w:p w14:paraId="4325A421" w14:textId="77777777" w:rsidR="00543720" w:rsidRPr="00543720" w:rsidRDefault="00543720" w:rsidP="003C6000">
            <w:pPr>
              <w:ind w:left="-69"/>
              <w:rPr>
                <w:rFonts w:eastAsia="Times New Roman"/>
                <w:color w:val="000000"/>
                <w:sz w:val="20"/>
                <w:szCs w:val="20"/>
                <w:lang w:eastAsia="pt-BR"/>
              </w:rPr>
            </w:pPr>
            <w:r w:rsidRPr="00543720">
              <w:rPr>
                <w:rFonts w:eastAsia="Times New Roman"/>
                <w:color w:val="000000"/>
                <w:sz w:val="20"/>
                <w:szCs w:val="20"/>
                <w:lang w:eastAsia="pt-BR"/>
              </w:rPr>
              <w:t>Leilão</w:t>
            </w:r>
          </w:p>
        </w:tc>
        <w:tc>
          <w:tcPr>
            <w:tcW w:w="1935" w:type="dxa"/>
            <w:tcBorders>
              <w:top w:val="nil"/>
              <w:left w:val="nil"/>
              <w:bottom w:val="single" w:sz="4" w:space="0" w:color="auto"/>
              <w:right w:val="nil"/>
            </w:tcBorders>
            <w:shd w:val="clear" w:color="000000" w:fill="FFFFFF"/>
            <w:noWrap/>
            <w:vAlign w:val="bottom"/>
            <w:hideMark/>
          </w:tcPr>
          <w:p w14:paraId="161655CA"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1</w:t>
            </w:r>
          </w:p>
        </w:tc>
        <w:tc>
          <w:tcPr>
            <w:tcW w:w="1698" w:type="dxa"/>
            <w:tcBorders>
              <w:top w:val="nil"/>
              <w:left w:val="nil"/>
              <w:bottom w:val="single" w:sz="4" w:space="0" w:color="auto"/>
              <w:right w:val="nil"/>
            </w:tcBorders>
            <w:shd w:val="clear" w:color="000000" w:fill="FFFFFF"/>
            <w:noWrap/>
            <w:vAlign w:val="bottom"/>
            <w:hideMark/>
          </w:tcPr>
          <w:p w14:paraId="71E5EB04"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1%</w:t>
            </w:r>
          </w:p>
        </w:tc>
        <w:tc>
          <w:tcPr>
            <w:tcW w:w="2266" w:type="dxa"/>
            <w:tcBorders>
              <w:top w:val="nil"/>
              <w:left w:val="nil"/>
              <w:bottom w:val="single" w:sz="4" w:space="0" w:color="auto"/>
              <w:right w:val="nil"/>
            </w:tcBorders>
            <w:shd w:val="clear" w:color="000000" w:fill="FFFFFF"/>
            <w:noWrap/>
            <w:vAlign w:val="bottom"/>
            <w:hideMark/>
          </w:tcPr>
          <w:p w14:paraId="1C75E0FB"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294.050,00</w:t>
            </w:r>
          </w:p>
        </w:tc>
      </w:tr>
      <w:tr w:rsidR="00543720" w:rsidRPr="00543720" w14:paraId="2C50ED0C" w14:textId="77777777" w:rsidTr="00875BAB">
        <w:trPr>
          <w:trHeight w:val="307"/>
        </w:trPr>
        <w:tc>
          <w:tcPr>
            <w:tcW w:w="2322" w:type="dxa"/>
            <w:tcBorders>
              <w:top w:val="nil"/>
              <w:left w:val="nil"/>
              <w:bottom w:val="single" w:sz="4" w:space="0" w:color="auto"/>
              <w:right w:val="nil"/>
            </w:tcBorders>
            <w:shd w:val="clear" w:color="000000" w:fill="FFFFFF"/>
            <w:noWrap/>
            <w:vAlign w:val="bottom"/>
            <w:hideMark/>
          </w:tcPr>
          <w:p w14:paraId="7578FB33" w14:textId="77777777" w:rsidR="00543720" w:rsidRPr="00543720" w:rsidRDefault="00543720" w:rsidP="003C6000">
            <w:pPr>
              <w:ind w:left="-69"/>
              <w:rPr>
                <w:rFonts w:eastAsia="Times New Roman"/>
                <w:color w:val="000000"/>
                <w:sz w:val="20"/>
                <w:szCs w:val="20"/>
                <w:lang w:eastAsia="pt-BR"/>
              </w:rPr>
            </w:pPr>
            <w:r w:rsidRPr="00543720">
              <w:rPr>
                <w:rFonts w:eastAsia="Times New Roman"/>
                <w:color w:val="000000"/>
                <w:sz w:val="20"/>
                <w:szCs w:val="20"/>
                <w:lang w:eastAsia="pt-BR"/>
              </w:rPr>
              <w:t>Pregão Eletrônico</w:t>
            </w:r>
          </w:p>
        </w:tc>
        <w:tc>
          <w:tcPr>
            <w:tcW w:w="1935" w:type="dxa"/>
            <w:tcBorders>
              <w:top w:val="nil"/>
              <w:left w:val="nil"/>
              <w:bottom w:val="single" w:sz="4" w:space="0" w:color="auto"/>
              <w:right w:val="nil"/>
            </w:tcBorders>
            <w:shd w:val="clear" w:color="000000" w:fill="FFFFFF"/>
            <w:noWrap/>
            <w:vAlign w:val="bottom"/>
            <w:hideMark/>
          </w:tcPr>
          <w:p w14:paraId="3D49C0D9"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1</w:t>
            </w:r>
          </w:p>
        </w:tc>
        <w:tc>
          <w:tcPr>
            <w:tcW w:w="1698" w:type="dxa"/>
            <w:tcBorders>
              <w:top w:val="nil"/>
              <w:left w:val="nil"/>
              <w:bottom w:val="single" w:sz="4" w:space="0" w:color="auto"/>
              <w:right w:val="nil"/>
            </w:tcBorders>
            <w:shd w:val="clear" w:color="000000" w:fill="FFFFFF"/>
            <w:noWrap/>
            <w:vAlign w:val="bottom"/>
            <w:hideMark/>
          </w:tcPr>
          <w:p w14:paraId="51781F45"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1%</w:t>
            </w:r>
          </w:p>
        </w:tc>
        <w:tc>
          <w:tcPr>
            <w:tcW w:w="2266" w:type="dxa"/>
            <w:tcBorders>
              <w:top w:val="single" w:sz="4" w:space="0" w:color="auto"/>
              <w:left w:val="nil"/>
              <w:bottom w:val="single" w:sz="4" w:space="0" w:color="auto"/>
              <w:right w:val="nil"/>
            </w:tcBorders>
            <w:shd w:val="clear" w:color="000000" w:fill="FFFFFF"/>
            <w:noWrap/>
            <w:vAlign w:val="bottom"/>
            <w:hideMark/>
          </w:tcPr>
          <w:p w14:paraId="08547D20"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360.750,00</w:t>
            </w:r>
          </w:p>
        </w:tc>
      </w:tr>
      <w:tr w:rsidR="00543720" w:rsidRPr="00543720" w14:paraId="54C4ECA4" w14:textId="77777777" w:rsidTr="00875BAB">
        <w:trPr>
          <w:trHeight w:val="307"/>
        </w:trPr>
        <w:tc>
          <w:tcPr>
            <w:tcW w:w="2322" w:type="dxa"/>
            <w:tcBorders>
              <w:top w:val="single" w:sz="4" w:space="0" w:color="auto"/>
              <w:left w:val="nil"/>
              <w:bottom w:val="single" w:sz="4" w:space="0" w:color="auto"/>
              <w:right w:val="nil"/>
            </w:tcBorders>
            <w:shd w:val="clear" w:color="000000" w:fill="FFFFFF"/>
            <w:noWrap/>
            <w:vAlign w:val="bottom"/>
            <w:hideMark/>
          </w:tcPr>
          <w:p w14:paraId="37A2B695" w14:textId="77777777" w:rsidR="00543720" w:rsidRPr="00543720" w:rsidRDefault="00543720" w:rsidP="003C6000">
            <w:pPr>
              <w:ind w:left="-69"/>
              <w:rPr>
                <w:rFonts w:eastAsia="Times New Roman"/>
                <w:color w:val="000000"/>
                <w:sz w:val="20"/>
                <w:szCs w:val="20"/>
                <w:lang w:eastAsia="pt-BR"/>
              </w:rPr>
            </w:pPr>
            <w:r w:rsidRPr="00543720">
              <w:rPr>
                <w:rFonts w:eastAsia="Times New Roman"/>
                <w:color w:val="000000"/>
                <w:sz w:val="20"/>
                <w:szCs w:val="20"/>
                <w:lang w:eastAsia="pt-BR"/>
              </w:rPr>
              <w:t>Pregão Presencial</w:t>
            </w:r>
          </w:p>
        </w:tc>
        <w:tc>
          <w:tcPr>
            <w:tcW w:w="1935" w:type="dxa"/>
            <w:tcBorders>
              <w:top w:val="single" w:sz="4" w:space="0" w:color="auto"/>
              <w:left w:val="nil"/>
              <w:bottom w:val="single" w:sz="4" w:space="0" w:color="auto"/>
              <w:right w:val="nil"/>
            </w:tcBorders>
            <w:shd w:val="clear" w:color="000000" w:fill="FFFFFF"/>
            <w:noWrap/>
            <w:vAlign w:val="bottom"/>
            <w:hideMark/>
          </w:tcPr>
          <w:p w14:paraId="78434812"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52</w:t>
            </w:r>
          </w:p>
        </w:tc>
        <w:tc>
          <w:tcPr>
            <w:tcW w:w="1698" w:type="dxa"/>
            <w:tcBorders>
              <w:top w:val="single" w:sz="4" w:space="0" w:color="auto"/>
              <w:left w:val="nil"/>
              <w:bottom w:val="single" w:sz="4" w:space="0" w:color="auto"/>
              <w:right w:val="nil"/>
            </w:tcBorders>
            <w:shd w:val="clear" w:color="000000" w:fill="FFFFFF"/>
            <w:noWrap/>
            <w:vAlign w:val="bottom"/>
            <w:hideMark/>
          </w:tcPr>
          <w:p w14:paraId="4830C17E"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68%</w:t>
            </w:r>
          </w:p>
        </w:tc>
        <w:tc>
          <w:tcPr>
            <w:tcW w:w="2266" w:type="dxa"/>
            <w:tcBorders>
              <w:top w:val="single" w:sz="4" w:space="0" w:color="auto"/>
              <w:left w:val="nil"/>
              <w:bottom w:val="nil"/>
              <w:right w:val="nil"/>
            </w:tcBorders>
            <w:shd w:val="clear" w:color="000000" w:fill="FFFFFF"/>
            <w:noWrap/>
            <w:vAlign w:val="bottom"/>
            <w:hideMark/>
          </w:tcPr>
          <w:p w14:paraId="117BC86E"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12.998.129,06</w:t>
            </w:r>
          </w:p>
        </w:tc>
      </w:tr>
      <w:tr w:rsidR="00543720" w:rsidRPr="00543720" w14:paraId="4CF99E37" w14:textId="77777777" w:rsidTr="00875BAB">
        <w:trPr>
          <w:trHeight w:val="307"/>
        </w:trPr>
        <w:tc>
          <w:tcPr>
            <w:tcW w:w="2322" w:type="dxa"/>
            <w:tcBorders>
              <w:top w:val="single" w:sz="4" w:space="0" w:color="auto"/>
              <w:left w:val="nil"/>
              <w:bottom w:val="single" w:sz="4" w:space="0" w:color="auto"/>
              <w:right w:val="nil"/>
            </w:tcBorders>
            <w:shd w:val="clear" w:color="000000" w:fill="FFFFFF"/>
            <w:noWrap/>
            <w:vAlign w:val="bottom"/>
            <w:hideMark/>
          </w:tcPr>
          <w:p w14:paraId="21B730C3" w14:textId="77777777" w:rsidR="00543720" w:rsidRPr="00543720" w:rsidRDefault="00543720" w:rsidP="003C6000">
            <w:pPr>
              <w:ind w:left="-69"/>
              <w:rPr>
                <w:rFonts w:eastAsia="Times New Roman"/>
                <w:color w:val="000000"/>
                <w:sz w:val="20"/>
                <w:szCs w:val="20"/>
                <w:lang w:eastAsia="pt-BR"/>
              </w:rPr>
            </w:pPr>
            <w:r w:rsidRPr="00543720">
              <w:rPr>
                <w:rFonts w:eastAsia="Times New Roman"/>
                <w:color w:val="000000"/>
                <w:sz w:val="20"/>
                <w:szCs w:val="20"/>
                <w:lang w:eastAsia="pt-BR"/>
              </w:rPr>
              <w:t>Tomada de Preços</w:t>
            </w:r>
          </w:p>
        </w:tc>
        <w:tc>
          <w:tcPr>
            <w:tcW w:w="1935" w:type="dxa"/>
            <w:tcBorders>
              <w:top w:val="single" w:sz="4" w:space="0" w:color="auto"/>
              <w:left w:val="nil"/>
              <w:bottom w:val="single" w:sz="4" w:space="0" w:color="auto"/>
              <w:right w:val="nil"/>
            </w:tcBorders>
            <w:shd w:val="clear" w:color="000000" w:fill="FFFFFF"/>
            <w:noWrap/>
            <w:vAlign w:val="bottom"/>
            <w:hideMark/>
          </w:tcPr>
          <w:p w14:paraId="0BD672DF"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10</w:t>
            </w:r>
          </w:p>
        </w:tc>
        <w:tc>
          <w:tcPr>
            <w:tcW w:w="1698" w:type="dxa"/>
            <w:tcBorders>
              <w:top w:val="single" w:sz="4" w:space="0" w:color="auto"/>
              <w:left w:val="nil"/>
              <w:bottom w:val="single" w:sz="4" w:space="0" w:color="auto"/>
              <w:right w:val="nil"/>
            </w:tcBorders>
            <w:shd w:val="clear" w:color="000000" w:fill="FFFFFF"/>
            <w:noWrap/>
            <w:vAlign w:val="bottom"/>
            <w:hideMark/>
          </w:tcPr>
          <w:p w14:paraId="3D019A2C"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13%</w:t>
            </w:r>
          </w:p>
        </w:tc>
        <w:tc>
          <w:tcPr>
            <w:tcW w:w="2266" w:type="dxa"/>
            <w:tcBorders>
              <w:top w:val="single" w:sz="4" w:space="0" w:color="auto"/>
              <w:left w:val="nil"/>
              <w:bottom w:val="nil"/>
              <w:right w:val="nil"/>
            </w:tcBorders>
            <w:shd w:val="clear" w:color="000000" w:fill="FFFFFF"/>
            <w:noWrap/>
            <w:vAlign w:val="bottom"/>
            <w:hideMark/>
          </w:tcPr>
          <w:p w14:paraId="01845691"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3.300.041,77</w:t>
            </w:r>
          </w:p>
        </w:tc>
      </w:tr>
      <w:tr w:rsidR="00543720" w:rsidRPr="00543720" w14:paraId="42BE4B89" w14:textId="77777777" w:rsidTr="00875BAB">
        <w:trPr>
          <w:trHeight w:val="307"/>
        </w:trPr>
        <w:tc>
          <w:tcPr>
            <w:tcW w:w="2322" w:type="dxa"/>
            <w:tcBorders>
              <w:top w:val="nil"/>
              <w:left w:val="nil"/>
              <w:bottom w:val="single" w:sz="4" w:space="0" w:color="auto"/>
              <w:right w:val="nil"/>
            </w:tcBorders>
            <w:shd w:val="clear" w:color="000000" w:fill="FFFFFF"/>
            <w:noWrap/>
            <w:vAlign w:val="bottom"/>
            <w:hideMark/>
          </w:tcPr>
          <w:p w14:paraId="1F377DE6" w14:textId="77777777" w:rsidR="00543720" w:rsidRPr="00543720" w:rsidRDefault="00543720" w:rsidP="003C6000">
            <w:pPr>
              <w:ind w:left="-69"/>
              <w:rPr>
                <w:rFonts w:eastAsia="Times New Roman"/>
                <w:b/>
                <w:bCs/>
                <w:color w:val="000000"/>
                <w:sz w:val="20"/>
                <w:szCs w:val="20"/>
                <w:lang w:eastAsia="pt-BR"/>
              </w:rPr>
            </w:pPr>
            <w:r w:rsidRPr="00543720">
              <w:rPr>
                <w:rFonts w:eastAsia="Times New Roman"/>
                <w:b/>
                <w:bCs/>
                <w:color w:val="000000"/>
                <w:sz w:val="20"/>
                <w:szCs w:val="20"/>
                <w:lang w:eastAsia="pt-BR"/>
              </w:rPr>
              <w:t>Total</w:t>
            </w:r>
          </w:p>
        </w:tc>
        <w:tc>
          <w:tcPr>
            <w:tcW w:w="1935" w:type="dxa"/>
            <w:tcBorders>
              <w:top w:val="nil"/>
              <w:left w:val="nil"/>
              <w:bottom w:val="single" w:sz="4" w:space="0" w:color="auto"/>
              <w:right w:val="nil"/>
            </w:tcBorders>
            <w:shd w:val="clear" w:color="auto" w:fill="auto"/>
            <w:noWrap/>
            <w:vAlign w:val="bottom"/>
            <w:hideMark/>
          </w:tcPr>
          <w:p w14:paraId="2EE59E4C" w14:textId="77777777" w:rsidR="00543720" w:rsidRPr="00543720" w:rsidRDefault="00543720" w:rsidP="00543720">
            <w:pPr>
              <w:jc w:val="center"/>
              <w:rPr>
                <w:rFonts w:eastAsia="Times New Roman"/>
                <w:b/>
                <w:bCs/>
                <w:color w:val="000000"/>
                <w:sz w:val="20"/>
                <w:szCs w:val="20"/>
                <w:lang w:eastAsia="pt-BR"/>
              </w:rPr>
            </w:pPr>
            <w:r w:rsidRPr="00543720">
              <w:rPr>
                <w:rFonts w:eastAsia="Times New Roman"/>
                <w:b/>
                <w:bCs/>
                <w:color w:val="000000"/>
                <w:sz w:val="20"/>
                <w:szCs w:val="20"/>
                <w:lang w:eastAsia="pt-BR"/>
              </w:rPr>
              <w:t>77</w:t>
            </w:r>
          </w:p>
        </w:tc>
        <w:tc>
          <w:tcPr>
            <w:tcW w:w="1698" w:type="dxa"/>
            <w:tcBorders>
              <w:top w:val="single" w:sz="4" w:space="0" w:color="auto"/>
              <w:left w:val="nil"/>
              <w:bottom w:val="single" w:sz="4" w:space="0" w:color="auto"/>
              <w:right w:val="nil"/>
            </w:tcBorders>
            <w:shd w:val="clear" w:color="000000" w:fill="FFFFFF"/>
            <w:noWrap/>
            <w:vAlign w:val="bottom"/>
            <w:hideMark/>
          </w:tcPr>
          <w:p w14:paraId="39F696DC"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100%</w:t>
            </w:r>
          </w:p>
        </w:tc>
        <w:tc>
          <w:tcPr>
            <w:tcW w:w="2266" w:type="dxa"/>
            <w:tcBorders>
              <w:top w:val="single" w:sz="4" w:space="0" w:color="auto"/>
              <w:left w:val="nil"/>
              <w:bottom w:val="single" w:sz="4" w:space="0" w:color="auto"/>
              <w:right w:val="nil"/>
            </w:tcBorders>
            <w:shd w:val="clear" w:color="auto" w:fill="auto"/>
            <w:noWrap/>
            <w:vAlign w:val="bottom"/>
            <w:hideMark/>
          </w:tcPr>
          <w:p w14:paraId="44065A2D" w14:textId="77777777" w:rsidR="00543720" w:rsidRPr="00543720" w:rsidRDefault="00543720" w:rsidP="00543720">
            <w:pPr>
              <w:jc w:val="center"/>
              <w:rPr>
                <w:rFonts w:eastAsia="Times New Roman"/>
                <w:b/>
                <w:bCs/>
                <w:color w:val="000000"/>
                <w:sz w:val="20"/>
                <w:szCs w:val="20"/>
                <w:lang w:eastAsia="pt-BR"/>
              </w:rPr>
            </w:pPr>
            <w:r w:rsidRPr="00543720">
              <w:rPr>
                <w:rFonts w:eastAsia="Times New Roman"/>
                <w:b/>
                <w:bCs/>
                <w:color w:val="000000"/>
                <w:sz w:val="20"/>
                <w:szCs w:val="20"/>
                <w:lang w:eastAsia="pt-BR"/>
              </w:rPr>
              <w:t>19.119.778,65</w:t>
            </w:r>
          </w:p>
        </w:tc>
      </w:tr>
    </w:tbl>
    <w:p w14:paraId="1F6CBBFD" w14:textId="6860CFEE" w:rsidR="00543720" w:rsidRDefault="00BD73BB" w:rsidP="00BD73BB">
      <w:pPr>
        <w:spacing w:after="160" w:line="259" w:lineRule="auto"/>
        <w:ind w:left="284"/>
        <w:rPr>
          <w:sz w:val="20"/>
          <w:szCs w:val="20"/>
        </w:rPr>
      </w:pPr>
      <w:r>
        <w:rPr>
          <w:sz w:val="20"/>
          <w:szCs w:val="20"/>
        </w:rPr>
        <w:t>Fonte: Dados da pesquisa (2021)</w:t>
      </w:r>
    </w:p>
    <w:p w14:paraId="05CFE308" w14:textId="77777777" w:rsidR="00BD73BB" w:rsidRDefault="00BD73BB" w:rsidP="00C04996">
      <w:pPr>
        <w:spacing w:after="160"/>
        <w:ind w:left="284"/>
        <w:rPr>
          <w:sz w:val="20"/>
          <w:szCs w:val="20"/>
        </w:rPr>
      </w:pPr>
    </w:p>
    <w:p w14:paraId="230AB7B8" w14:textId="208F9227" w:rsidR="00652BB5" w:rsidRDefault="006D0C87" w:rsidP="00652BB5">
      <w:pPr>
        <w:pStyle w:val="UnidaviTexto-Espao15"/>
      </w:pPr>
      <w:r>
        <w:t xml:space="preserve">Em seguida tiveram 10 licitações para tomada de preços, ficaram empatadas as modalidades convite e concorrência com 5 participações </w:t>
      </w:r>
      <w:r w:rsidR="00652BB5">
        <w:t>cada. Realizou-se ainda 2 licitações pela inexigibilidade de licitação. Houve 1 licitação dispensada</w:t>
      </w:r>
      <w:r>
        <w:t xml:space="preserve">, que acontecem quando o processo licitatório é facultativo pela administração pública, obedecendo as regras descritas em lei. </w:t>
      </w:r>
      <w:r w:rsidR="00652BB5">
        <w:t>As modalidades leilão e pregão eletrônico também tiveram 1 participação cada.</w:t>
      </w:r>
    </w:p>
    <w:p w14:paraId="5A42C934" w14:textId="09F4306F" w:rsidR="006B4F46" w:rsidRDefault="006B4F46" w:rsidP="00C04996">
      <w:pPr>
        <w:pStyle w:val="UnidaviTexto-Espao15"/>
        <w:spacing w:line="240" w:lineRule="auto"/>
        <w:ind w:firstLine="0"/>
      </w:pPr>
    </w:p>
    <w:p w14:paraId="3824D351" w14:textId="57682789" w:rsidR="005E0418" w:rsidRPr="00BD73BB" w:rsidRDefault="00BD73BB" w:rsidP="00BD73BB">
      <w:pPr>
        <w:pStyle w:val="UnidaviTexto-Espao15"/>
        <w:spacing w:line="240" w:lineRule="auto"/>
        <w:ind w:left="284" w:firstLine="0"/>
        <w:contextualSpacing/>
        <w:rPr>
          <w:b/>
          <w:sz w:val="20"/>
        </w:rPr>
      </w:pPr>
      <w:r w:rsidRPr="007F2776">
        <w:rPr>
          <w:b/>
          <w:sz w:val="20"/>
        </w:rPr>
        <w:t>Gr</w:t>
      </w:r>
      <w:r>
        <w:rPr>
          <w:b/>
          <w:sz w:val="20"/>
        </w:rPr>
        <w:t>áfico 24</w:t>
      </w:r>
      <w:r w:rsidRPr="007F2776">
        <w:rPr>
          <w:b/>
          <w:sz w:val="20"/>
        </w:rPr>
        <w:t xml:space="preserve"> – </w:t>
      </w:r>
      <w:r w:rsidRPr="00776D33">
        <w:rPr>
          <w:b/>
          <w:bCs/>
          <w:sz w:val="20"/>
        </w:rPr>
        <w:t>Percentual de cada mod</w:t>
      </w:r>
      <w:r w:rsidR="00C04996">
        <w:rPr>
          <w:b/>
          <w:bCs/>
          <w:sz w:val="20"/>
        </w:rPr>
        <w:t>alidade de licitação no ano 2020</w:t>
      </w:r>
    </w:p>
    <w:p w14:paraId="7080A3DB" w14:textId="649AFA0F" w:rsidR="00652BB5" w:rsidRDefault="008B03FD" w:rsidP="0053459E">
      <w:pPr>
        <w:pStyle w:val="UnidaviTexto-Espao15"/>
        <w:spacing w:line="240" w:lineRule="auto"/>
        <w:ind w:left="284" w:right="284" w:firstLine="0"/>
      </w:pPr>
      <w:r>
        <w:rPr>
          <w:noProof/>
        </w:rPr>
        <w:drawing>
          <wp:inline distT="0" distB="0" distL="0" distR="0" wp14:anchorId="2877EC44" wp14:editId="558698EC">
            <wp:extent cx="5201728" cy="3324860"/>
            <wp:effectExtent l="0" t="0" r="18415" b="8890"/>
            <wp:docPr id="203" name="Gráfico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6E6E02" w14:textId="65B3993E" w:rsidR="005E0418" w:rsidRDefault="00BD73BB" w:rsidP="005E0418">
      <w:pPr>
        <w:pStyle w:val="UnidaviTexto-Espao15"/>
        <w:spacing w:line="240" w:lineRule="auto"/>
        <w:ind w:left="284" w:firstLine="0"/>
        <w:contextualSpacing/>
        <w:rPr>
          <w:sz w:val="20"/>
        </w:rPr>
      </w:pPr>
      <w:r>
        <w:rPr>
          <w:sz w:val="20"/>
        </w:rPr>
        <w:t>Fonte: Dados da pesquisa (2021)</w:t>
      </w:r>
    </w:p>
    <w:p w14:paraId="18B60A36" w14:textId="0FB5F9E3" w:rsidR="005E0418" w:rsidRDefault="005E0418" w:rsidP="00BD73BB">
      <w:pPr>
        <w:pStyle w:val="UnidaviTexto-Espao15"/>
        <w:ind w:left="284" w:firstLine="0"/>
        <w:contextualSpacing/>
        <w:rPr>
          <w:sz w:val="20"/>
        </w:rPr>
      </w:pPr>
    </w:p>
    <w:p w14:paraId="0FA3573C" w14:textId="4BEBE1E5" w:rsidR="005E0418" w:rsidRDefault="005E0418" w:rsidP="005E0418">
      <w:pPr>
        <w:pStyle w:val="UnidaviTexto-Espao15"/>
      </w:pPr>
      <w:r>
        <w:t xml:space="preserve">Em relação aos percentuais de participação, </w:t>
      </w:r>
      <w:r w:rsidR="00C04996">
        <w:t xml:space="preserve">o Gráfico 24 aponta que </w:t>
      </w:r>
      <w:r>
        <w:t>cerca de 68% das licita</w:t>
      </w:r>
      <w:r w:rsidR="00783A49">
        <w:t>ções foram realizadas através da modalidade</w:t>
      </w:r>
      <w:r>
        <w:t xml:space="preserve"> pregão presencial.</w:t>
      </w:r>
    </w:p>
    <w:p w14:paraId="53403914" w14:textId="205E1B40" w:rsidR="005E0418" w:rsidRPr="005E0418" w:rsidRDefault="00617D92" w:rsidP="005E0418">
      <w:pPr>
        <w:pStyle w:val="UnidaviTexto-Espao15"/>
      </w:pPr>
      <w:r>
        <w:t>A Tabela 18 apresenta que n</w:t>
      </w:r>
      <w:r w:rsidR="005E0418">
        <w:t>o ano de 2020 nas 77 licitações homologadas, identificou-se 358 participações de empresas, onde 90 dessas participações foram de empresas do município de Taió, 153 foram de empresas do Alto Vale do Itajaí e 115 foram de empresas de fora do Alto Vale do Itajaí.</w:t>
      </w:r>
    </w:p>
    <w:p w14:paraId="1CD57B28" w14:textId="77777777" w:rsidR="00543720" w:rsidRDefault="00543720" w:rsidP="003C6000">
      <w:pPr>
        <w:pStyle w:val="UNIDAVISEOSECUNDARIA"/>
        <w:spacing w:line="360" w:lineRule="auto"/>
        <w:rPr>
          <w:lang w:val="pt-BR"/>
        </w:rPr>
      </w:pPr>
    </w:p>
    <w:p w14:paraId="1A797169" w14:textId="2BA5CF59" w:rsidR="00543720" w:rsidRPr="00BD73BB" w:rsidRDefault="00543720" w:rsidP="00BD73BB">
      <w:pPr>
        <w:pStyle w:val="UnidaviTexto-Espao15"/>
        <w:spacing w:line="240" w:lineRule="auto"/>
        <w:ind w:left="284" w:firstLine="0"/>
        <w:rPr>
          <w:b/>
          <w:sz w:val="20"/>
          <w:szCs w:val="20"/>
        </w:rPr>
      </w:pPr>
      <w:r w:rsidRPr="00BD73BB">
        <w:rPr>
          <w:b/>
          <w:sz w:val="20"/>
          <w:szCs w:val="20"/>
        </w:rPr>
        <w:t>Tabela 18 – Empresas participantes/Empresas vencedoras no ano 2020</w:t>
      </w:r>
    </w:p>
    <w:tbl>
      <w:tblPr>
        <w:tblW w:w="8221" w:type="dxa"/>
        <w:tblInd w:w="284" w:type="dxa"/>
        <w:tblCellMar>
          <w:left w:w="70" w:type="dxa"/>
          <w:right w:w="70" w:type="dxa"/>
        </w:tblCellMar>
        <w:tblLook w:val="04A0" w:firstRow="1" w:lastRow="0" w:firstColumn="1" w:lastColumn="0" w:noHBand="0" w:noVBand="1"/>
      </w:tblPr>
      <w:tblGrid>
        <w:gridCol w:w="1984"/>
        <w:gridCol w:w="1134"/>
        <w:gridCol w:w="709"/>
        <w:gridCol w:w="1843"/>
        <w:gridCol w:w="1559"/>
        <w:gridCol w:w="992"/>
      </w:tblGrid>
      <w:tr w:rsidR="00543720" w:rsidRPr="00543720" w14:paraId="4831F733" w14:textId="77777777" w:rsidTr="003A3A81">
        <w:trPr>
          <w:trHeight w:val="308"/>
        </w:trPr>
        <w:tc>
          <w:tcPr>
            <w:tcW w:w="1984" w:type="dxa"/>
            <w:tcBorders>
              <w:top w:val="single" w:sz="4" w:space="0" w:color="auto"/>
              <w:left w:val="nil"/>
              <w:bottom w:val="single" w:sz="4" w:space="0" w:color="auto"/>
              <w:right w:val="nil"/>
            </w:tcBorders>
            <w:shd w:val="clear" w:color="000000" w:fill="FFFFFF"/>
            <w:noWrap/>
            <w:vAlign w:val="bottom"/>
            <w:hideMark/>
          </w:tcPr>
          <w:p w14:paraId="6BD685FC" w14:textId="77777777" w:rsidR="00543720" w:rsidRPr="00543720" w:rsidRDefault="00543720" w:rsidP="003C6000">
            <w:pPr>
              <w:ind w:left="-69"/>
              <w:rPr>
                <w:rFonts w:eastAsia="Times New Roman"/>
                <w:b/>
                <w:bCs/>
                <w:color w:val="000000"/>
                <w:sz w:val="20"/>
                <w:szCs w:val="20"/>
                <w:lang w:eastAsia="pt-BR"/>
              </w:rPr>
            </w:pPr>
            <w:r w:rsidRPr="00543720">
              <w:rPr>
                <w:rFonts w:eastAsia="Times New Roman"/>
                <w:b/>
                <w:bCs/>
                <w:color w:val="000000"/>
                <w:sz w:val="20"/>
                <w:szCs w:val="20"/>
                <w:lang w:eastAsia="pt-BR"/>
              </w:rPr>
              <w:t xml:space="preserve">Participações </w:t>
            </w:r>
          </w:p>
        </w:tc>
        <w:tc>
          <w:tcPr>
            <w:tcW w:w="1134" w:type="dxa"/>
            <w:tcBorders>
              <w:top w:val="single" w:sz="4" w:space="0" w:color="auto"/>
              <w:left w:val="nil"/>
              <w:bottom w:val="single" w:sz="4" w:space="0" w:color="auto"/>
              <w:right w:val="nil"/>
            </w:tcBorders>
            <w:shd w:val="clear" w:color="000000" w:fill="FFFFFF"/>
            <w:noWrap/>
            <w:vAlign w:val="bottom"/>
            <w:hideMark/>
          </w:tcPr>
          <w:p w14:paraId="1FDF00AC" w14:textId="77777777" w:rsidR="00543720" w:rsidRPr="00543720" w:rsidRDefault="00543720" w:rsidP="00543720">
            <w:pPr>
              <w:jc w:val="center"/>
              <w:rPr>
                <w:rFonts w:eastAsia="Times New Roman"/>
                <w:b/>
                <w:bCs/>
                <w:color w:val="000000"/>
                <w:sz w:val="20"/>
                <w:szCs w:val="20"/>
                <w:lang w:eastAsia="pt-BR"/>
              </w:rPr>
            </w:pPr>
            <w:r w:rsidRPr="00543720">
              <w:rPr>
                <w:rFonts w:eastAsia="Times New Roman"/>
                <w:b/>
                <w:bCs/>
                <w:color w:val="000000"/>
                <w:sz w:val="20"/>
                <w:szCs w:val="20"/>
                <w:lang w:eastAsia="pt-BR"/>
              </w:rPr>
              <w:t>Total de empresas</w:t>
            </w:r>
          </w:p>
        </w:tc>
        <w:tc>
          <w:tcPr>
            <w:tcW w:w="709" w:type="dxa"/>
            <w:tcBorders>
              <w:top w:val="single" w:sz="4" w:space="0" w:color="auto"/>
              <w:left w:val="nil"/>
              <w:bottom w:val="single" w:sz="4" w:space="0" w:color="auto"/>
              <w:right w:val="nil"/>
            </w:tcBorders>
            <w:shd w:val="clear" w:color="000000" w:fill="FFFFFF"/>
            <w:noWrap/>
            <w:vAlign w:val="bottom"/>
            <w:hideMark/>
          </w:tcPr>
          <w:p w14:paraId="49297E28" w14:textId="77777777" w:rsidR="00543720" w:rsidRPr="00543720" w:rsidRDefault="00543720" w:rsidP="00543720">
            <w:pPr>
              <w:jc w:val="center"/>
              <w:rPr>
                <w:rFonts w:eastAsia="Times New Roman"/>
                <w:b/>
                <w:bCs/>
                <w:color w:val="000000"/>
                <w:sz w:val="20"/>
                <w:szCs w:val="20"/>
                <w:lang w:eastAsia="pt-BR"/>
              </w:rPr>
            </w:pPr>
            <w:r w:rsidRPr="00543720">
              <w:rPr>
                <w:rFonts w:eastAsia="Times New Roman"/>
                <w:b/>
                <w:bCs/>
                <w:color w:val="000000"/>
                <w:sz w:val="20"/>
                <w:szCs w:val="20"/>
                <w:lang w:eastAsia="pt-BR"/>
              </w:rPr>
              <w:t>%</w:t>
            </w:r>
          </w:p>
        </w:tc>
        <w:tc>
          <w:tcPr>
            <w:tcW w:w="1843" w:type="dxa"/>
            <w:tcBorders>
              <w:top w:val="single" w:sz="4" w:space="0" w:color="auto"/>
              <w:left w:val="nil"/>
              <w:bottom w:val="single" w:sz="4" w:space="0" w:color="auto"/>
              <w:right w:val="nil"/>
            </w:tcBorders>
            <w:shd w:val="clear" w:color="000000" w:fill="FFFFFF"/>
            <w:noWrap/>
            <w:vAlign w:val="bottom"/>
            <w:hideMark/>
          </w:tcPr>
          <w:p w14:paraId="57D99CCC" w14:textId="77777777" w:rsidR="00543720" w:rsidRPr="00543720" w:rsidRDefault="00543720" w:rsidP="00543720">
            <w:pPr>
              <w:jc w:val="center"/>
              <w:rPr>
                <w:rFonts w:eastAsia="Times New Roman"/>
                <w:b/>
                <w:bCs/>
                <w:color w:val="000000"/>
                <w:sz w:val="20"/>
                <w:szCs w:val="20"/>
                <w:lang w:eastAsia="pt-BR"/>
              </w:rPr>
            </w:pPr>
            <w:r w:rsidRPr="00543720">
              <w:rPr>
                <w:rFonts w:eastAsia="Times New Roman"/>
                <w:b/>
                <w:bCs/>
                <w:color w:val="000000"/>
                <w:sz w:val="20"/>
                <w:szCs w:val="20"/>
                <w:lang w:eastAsia="pt-BR"/>
              </w:rPr>
              <w:t>Vencedoras</w:t>
            </w:r>
          </w:p>
        </w:tc>
        <w:tc>
          <w:tcPr>
            <w:tcW w:w="1559" w:type="dxa"/>
            <w:tcBorders>
              <w:top w:val="single" w:sz="4" w:space="0" w:color="auto"/>
              <w:left w:val="nil"/>
              <w:bottom w:val="single" w:sz="4" w:space="0" w:color="auto"/>
              <w:right w:val="nil"/>
            </w:tcBorders>
            <w:shd w:val="clear" w:color="000000" w:fill="FFFFFF"/>
            <w:noWrap/>
            <w:vAlign w:val="bottom"/>
            <w:hideMark/>
          </w:tcPr>
          <w:p w14:paraId="526116E6" w14:textId="77777777" w:rsidR="00543720" w:rsidRPr="00543720" w:rsidRDefault="00543720" w:rsidP="00543720">
            <w:pPr>
              <w:jc w:val="center"/>
              <w:rPr>
                <w:rFonts w:eastAsia="Times New Roman"/>
                <w:b/>
                <w:bCs/>
                <w:color w:val="000000"/>
                <w:sz w:val="20"/>
                <w:szCs w:val="20"/>
                <w:lang w:eastAsia="pt-BR"/>
              </w:rPr>
            </w:pPr>
            <w:r w:rsidRPr="00543720">
              <w:rPr>
                <w:rFonts w:eastAsia="Times New Roman"/>
                <w:b/>
                <w:bCs/>
                <w:color w:val="000000"/>
                <w:sz w:val="20"/>
                <w:szCs w:val="20"/>
                <w:lang w:eastAsia="pt-BR"/>
              </w:rPr>
              <w:t>Total de empresas</w:t>
            </w:r>
          </w:p>
        </w:tc>
        <w:tc>
          <w:tcPr>
            <w:tcW w:w="992" w:type="dxa"/>
            <w:tcBorders>
              <w:top w:val="single" w:sz="4" w:space="0" w:color="auto"/>
              <w:left w:val="nil"/>
              <w:bottom w:val="single" w:sz="4" w:space="0" w:color="auto"/>
              <w:right w:val="nil"/>
            </w:tcBorders>
            <w:shd w:val="clear" w:color="000000" w:fill="FFFFFF"/>
            <w:noWrap/>
            <w:vAlign w:val="bottom"/>
            <w:hideMark/>
          </w:tcPr>
          <w:p w14:paraId="71B858C2" w14:textId="77777777" w:rsidR="00543720" w:rsidRPr="00543720" w:rsidRDefault="00543720" w:rsidP="00543720">
            <w:pPr>
              <w:jc w:val="center"/>
              <w:rPr>
                <w:rFonts w:eastAsia="Times New Roman"/>
                <w:b/>
                <w:bCs/>
                <w:color w:val="000000"/>
                <w:sz w:val="20"/>
                <w:szCs w:val="20"/>
                <w:lang w:eastAsia="pt-BR"/>
              </w:rPr>
            </w:pPr>
            <w:r w:rsidRPr="00543720">
              <w:rPr>
                <w:rFonts w:eastAsia="Times New Roman"/>
                <w:b/>
                <w:bCs/>
                <w:color w:val="000000"/>
                <w:sz w:val="20"/>
                <w:szCs w:val="20"/>
                <w:lang w:eastAsia="pt-BR"/>
              </w:rPr>
              <w:t>%</w:t>
            </w:r>
          </w:p>
        </w:tc>
      </w:tr>
      <w:tr w:rsidR="00543720" w:rsidRPr="00543720" w14:paraId="2B82BFB3" w14:textId="77777777" w:rsidTr="003A3A81">
        <w:trPr>
          <w:trHeight w:val="308"/>
        </w:trPr>
        <w:tc>
          <w:tcPr>
            <w:tcW w:w="1984" w:type="dxa"/>
            <w:tcBorders>
              <w:top w:val="nil"/>
              <w:left w:val="nil"/>
              <w:bottom w:val="single" w:sz="4" w:space="0" w:color="auto"/>
              <w:right w:val="nil"/>
            </w:tcBorders>
            <w:shd w:val="clear" w:color="000000" w:fill="FFFFFF"/>
            <w:noWrap/>
            <w:vAlign w:val="bottom"/>
            <w:hideMark/>
          </w:tcPr>
          <w:p w14:paraId="3FE52895" w14:textId="77777777" w:rsidR="00543720" w:rsidRPr="00543720" w:rsidRDefault="00543720" w:rsidP="003C6000">
            <w:pPr>
              <w:ind w:left="-69"/>
              <w:rPr>
                <w:rFonts w:eastAsia="Times New Roman"/>
                <w:color w:val="000000"/>
                <w:sz w:val="20"/>
                <w:szCs w:val="20"/>
                <w:lang w:eastAsia="pt-BR"/>
              </w:rPr>
            </w:pPr>
            <w:r w:rsidRPr="00543720">
              <w:rPr>
                <w:rFonts w:eastAsia="Times New Roman"/>
                <w:color w:val="000000"/>
                <w:sz w:val="20"/>
                <w:szCs w:val="20"/>
                <w:lang w:eastAsia="pt-BR"/>
              </w:rPr>
              <w:t>Ano 2020</w:t>
            </w:r>
          </w:p>
        </w:tc>
        <w:tc>
          <w:tcPr>
            <w:tcW w:w="1134" w:type="dxa"/>
            <w:tcBorders>
              <w:top w:val="nil"/>
              <w:left w:val="nil"/>
              <w:bottom w:val="single" w:sz="4" w:space="0" w:color="auto"/>
              <w:right w:val="nil"/>
            </w:tcBorders>
            <w:shd w:val="clear" w:color="000000" w:fill="FFFFFF"/>
            <w:noWrap/>
            <w:vAlign w:val="bottom"/>
            <w:hideMark/>
          </w:tcPr>
          <w:p w14:paraId="5552B9CA"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358</w:t>
            </w:r>
          </w:p>
        </w:tc>
        <w:tc>
          <w:tcPr>
            <w:tcW w:w="709" w:type="dxa"/>
            <w:tcBorders>
              <w:top w:val="nil"/>
              <w:left w:val="nil"/>
              <w:bottom w:val="single" w:sz="4" w:space="0" w:color="auto"/>
              <w:right w:val="nil"/>
            </w:tcBorders>
            <w:shd w:val="clear" w:color="000000" w:fill="FFFFFF"/>
            <w:noWrap/>
            <w:vAlign w:val="bottom"/>
            <w:hideMark/>
          </w:tcPr>
          <w:p w14:paraId="61AE562B"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100%</w:t>
            </w:r>
          </w:p>
        </w:tc>
        <w:tc>
          <w:tcPr>
            <w:tcW w:w="1843" w:type="dxa"/>
            <w:tcBorders>
              <w:top w:val="nil"/>
              <w:left w:val="nil"/>
              <w:bottom w:val="single" w:sz="4" w:space="0" w:color="auto"/>
              <w:right w:val="nil"/>
            </w:tcBorders>
            <w:shd w:val="clear" w:color="000000" w:fill="FFFFFF"/>
            <w:noWrap/>
            <w:vAlign w:val="bottom"/>
            <w:hideMark/>
          </w:tcPr>
          <w:p w14:paraId="782C9D03"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Ano 2020</w:t>
            </w:r>
          </w:p>
        </w:tc>
        <w:tc>
          <w:tcPr>
            <w:tcW w:w="1559" w:type="dxa"/>
            <w:tcBorders>
              <w:top w:val="nil"/>
              <w:left w:val="nil"/>
              <w:bottom w:val="single" w:sz="4" w:space="0" w:color="auto"/>
              <w:right w:val="nil"/>
            </w:tcBorders>
            <w:shd w:val="clear" w:color="auto" w:fill="auto"/>
            <w:noWrap/>
            <w:vAlign w:val="bottom"/>
            <w:hideMark/>
          </w:tcPr>
          <w:p w14:paraId="629083C8" w14:textId="087B3E09" w:rsidR="00543720" w:rsidRPr="00543720" w:rsidRDefault="001D6050" w:rsidP="00543720">
            <w:pPr>
              <w:jc w:val="center"/>
              <w:rPr>
                <w:rFonts w:eastAsia="Times New Roman"/>
                <w:color w:val="000000"/>
                <w:sz w:val="20"/>
                <w:szCs w:val="20"/>
                <w:lang w:eastAsia="pt-BR"/>
              </w:rPr>
            </w:pPr>
            <w:r>
              <w:rPr>
                <w:rFonts w:eastAsia="Times New Roman"/>
                <w:color w:val="000000"/>
                <w:sz w:val="20"/>
                <w:szCs w:val="20"/>
                <w:lang w:eastAsia="pt-BR"/>
              </w:rPr>
              <w:t>197</w:t>
            </w:r>
          </w:p>
        </w:tc>
        <w:tc>
          <w:tcPr>
            <w:tcW w:w="992" w:type="dxa"/>
            <w:tcBorders>
              <w:top w:val="nil"/>
              <w:left w:val="nil"/>
              <w:bottom w:val="single" w:sz="4" w:space="0" w:color="auto"/>
              <w:right w:val="nil"/>
            </w:tcBorders>
            <w:shd w:val="clear" w:color="auto" w:fill="auto"/>
            <w:noWrap/>
            <w:vAlign w:val="bottom"/>
            <w:hideMark/>
          </w:tcPr>
          <w:p w14:paraId="5D1C8E0F"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100%</w:t>
            </w:r>
          </w:p>
        </w:tc>
      </w:tr>
      <w:tr w:rsidR="00BD73BB" w:rsidRPr="00543720" w14:paraId="752952A2" w14:textId="77777777" w:rsidTr="003A3A81">
        <w:trPr>
          <w:trHeight w:val="308"/>
        </w:trPr>
        <w:tc>
          <w:tcPr>
            <w:tcW w:w="1984" w:type="dxa"/>
            <w:tcBorders>
              <w:top w:val="single" w:sz="4" w:space="0" w:color="auto"/>
              <w:left w:val="nil"/>
              <w:bottom w:val="single" w:sz="4" w:space="0" w:color="auto"/>
              <w:right w:val="nil"/>
            </w:tcBorders>
            <w:shd w:val="clear" w:color="auto" w:fill="auto"/>
            <w:noWrap/>
            <w:vAlign w:val="bottom"/>
            <w:hideMark/>
          </w:tcPr>
          <w:p w14:paraId="5200FF3B" w14:textId="77777777" w:rsidR="00543720" w:rsidRPr="00543720" w:rsidRDefault="00543720" w:rsidP="003C6000">
            <w:pPr>
              <w:ind w:left="-69"/>
              <w:rPr>
                <w:rFonts w:eastAsia="Times New Roman"/>
                <w:color w:val="000000"/>
                <w:sz w:val="20"/>
                <w:szCs w:val="20"/>
                <w:lang w:eastAsia="pt-BR"/>
              </w:rPr>
            </w:pPr>
            <w:r w:rsidRPr="00543720">
              <w:rPr>
                <w:rFonts w:eastAsia="Times New Roman"/>
                <w:color w:val="000000"/>
                <w:sz w:val="20"/>
                <w:szCs w:val="20"/>
                <w:lang w:eastAsia="pt-BR"/>
              </w:rPr>
              <w:t>Empresas de Taió</w:t>
            </w:r>
          </w:p>
        </w:tc>
        <w:tc>
          <w:tcPr>
            <w:tcW w:w="1134" w:type="dxa"/>
            <w:tcBorders>
              <w:top w:val="single" w:sz="4" w:space="0" w:color="auto"/>
              <w:left w:val="nil"/>
              <w:bottom w:val="single" w:sz="4" w:space="0" w:color="auto"/>
              <w:right w:val="nil"/>
            </w:tcBorders>
            <w:shd w:val="clear" w:color="auto" w:fill="auto"/>
            <w:noWrap/>
            <w:vAlign w:val="bottom"/>
            <w:hideMark/>
          </w:tcPr>
          <w:p w14:paraId="0B4C6609"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90</w:t>
            </w:r>
          </w:p>
        </w:tc>
        <w:tc>
          <w:tcPr>
            <w:tcW w:w="709" w:type="dxa"/>
            <w:tcBorders>
              <w:top w:val="single" w:sz="4" w:space="0" w:color="auto"/>
              <w:left w:val="nil"/>
              <w:bottom w:val="single" w:sz="4" w:space="0" w:color="auto"/>
              <w:right w:val="nil"/>
            </w:tcBorders>
            <w:shd w:val="clear" w:color="auto" w:fill="auto"/>
            <w:noWrap/>
            <w:vAlign w:val="bottom"/>
            <w:hideMark/>
          </w:tcPr>
          <w:p w14:paraId="0CF31474"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25%</w:t>
            </w:r>
          </w:p>
        </w:tc>
        <w:tc>
          <w:tcPr>
            <w:tcW w:w="1843" w:type="dxa"/>
            <w:tcBorders>
              <w:top w:val="single" w:sz="4" w:space="0" w:color="auto"/>
              <w:left w:val="nil"/>
              <w:bottom w:val="single" w:sz="4" w:space="0" w:color="auto"/>
              <w:right w:val="nil"/>
            </w:tcBorders>
            <w:shd w:val="clear" w:color="auto" w:fill="auto"/>
            <w:noWrap/>
            <w:vAlign w:val="bottom"/>
            <w:hideMark/>
          </w:tcPr>
          <w:p w14:paraId="64646DEC"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Empresas de Taió</w:t>
            </w:r>
          </w:p>
        </w:tc>
        <w:tc>
          <w:tcPr>
            <w:tcW w:w="1559" w:type="dxa"/>
            <w:tcBorders>
              <w:top w:val="single" w:sz="4" w:space="0" w:color="auto"/>
              <w:left w:val="nil"/>
              <w:bottom w:val="single" w:sz="4" w:space="0" w:color="auto"/>
              <w:right w:val="nil"/>
            </w:tcBorders>
            <w:shd w:val="clear" w:color="auto" w:fill="auto"/>
            <w:noWrap/>
            <w:vAlign w:val="bottom"/>
            <w:hideMark/>
          </w:tcPr>
          <w:p w14:paraId="7BD9D105"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62</w:t>
            </w:r>
          </w:p>
        </w:tc>
        <w:tc>
          <w:tcPr>
            <w:tcW w:w="992" w:type="dxa"/>
            <w:tcBorders>
              <w:top w:val="single" w:sz="4" w:space="0" w:color="auto"/>
              <w:left w:val="nil"/>
              <w:bottom w:val="single" w:sz="4" w:space="0" w:color="auto"/>
              <w:right w:val="nil"/>
            </w:tcBorders>
            <w:shd w:val="clear" w:color="auto" w:fill="auto"/>
            <w:noWrap/>
            <w:vAlign w:val="bottom"/>
            <w:hideMark/>
          </w:tcPr>
          <w:p w14:paraId="6E34A84C"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35%</w:t>
            </w:r>
          </w:p>
        </w:tc>
      </w:tr>
      <w:tr w:rsidR="00543720" w:rsidRPr="00543720" w14:paraId="3583425E" w14:textId="77777777" w:rsidTr="003A3A81">
        <w:trPr>
          <w:trHeight w:val="308"/>
        </w:trPr>
        <w:tc>
          <w:tcPr>
            <w:tcW w:w="1984" w:type="dxa"/>
            <w:tcBorders>
              <w:top w:val="single" w:sz="4" w:space="0" w:color="auto"/>
              <w:left w:val="nil"/>
              <w:bottom w:val="single" w:sz="4" w:space="0" w:color="auto"/>
              <w:right w:val="nil"/>
            </w:tcBorders>
            <w:shd w:val="clear" w:color="auto" w:fill="auto"/>
            <w:noWrap/>
            <w:vAlign w:val="bottom"/>
            <w:hideMark/>
          </w:tcPr>
          <w:p w14:paraId="4D5407C3" w14:textId="77777777" w:rsidR="00543720" w:rsidRPr="00543720" w:rsidRDefault="00543720" w:rsidP="003C6000">
            <w:pPr>
              <w:ind w:left="-69"/>
              <w:rPr>
                <w:rFonts w:eastAsia="Times New Roman"/>
                <w:color w:val="000000"/>
                <w:sz w:val="20"/>
                <w:szCs w:val="20"/>
                <w:lang w:eastAsia="pt-BR"/>
              </w:rPr>
            </w:pPr>
            <w:r w:rsidRPr="00543720">
              <w:rPr>
                <w:rFonts w:eastAsia="Times New Roman"/>
                <w:color w:val="000000"/>
                <w:sz w:val="20"/>
                <w:szCs w:val="20"/>
                <w:lang w:eastAsia="pt-BR"/>
              </w:rPr>
              <w:t>Empresas do Alto Vale</w:t>
            </w:r>
          </w:p>
        </w:tc>
        <w:tc>
          <w:tcPr>
            <w:tcW w:w="1134" w:type="dxa"/>
            <w:tcBorders>
              <w:top w:val="single" w:sz="4" w:space="0" w:color="auto"/>
              <w:left w:val="nil"/>
              <w:bottom w:val="single" w:sz="4" w:space="0" w:color="auto"/>
              <w:right w:val="nil"/>
            </w:tcBorders>
            <w:shd w:val="clear" w:color="auto" w:fill="auto"/>
            <w:noWrap/>
            <w:vAlign w:val="bottom"/>
            <w:hideMark/>
          </w:tcPr>
          <w:p w14:paraId="2BBAA7DF"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153</w:t>
            </w:r>
          </w:p>
        </w:tc>
        <w:tc>
          <w:tcPr>
            <w:tcW w:w="709" w:type="dxa"/>
            <w:tcBorders>
              <w:top w:val="single" w:sz="4" w:space="0" w:color="auto"/>
              <w:left w:val="nil"/>
              <w:bottom w:val="single" w:sz="4" w:space="0" w:color="auto"/>
              <w:right w:val="nil"/>
            </w:tcBorders>
            <w:shd w:val="clear" w:color="auto" w:fill="auto"/>
            <w:noWrap/>
            <w:vAlign w:val="bottom"/>
            <w:hideMark/>
          </w:tcPr>
          <w:p w14:paraId="32C6DC4C"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43%</w:t>
            </w:r>
          </w:p>
        </w:tc>
        <w:tc>
          <w:tcPr>
            <w:tcW w:w="1843" w:type="dxa"/>
            <w:tcBorders>
              <w:top w:val="single" w:sz="4" w:space="0" w:color="auto"/>
              <w:left w:val="nil"/>
              <w:bottom w:val="single" w:sz="4" w:space="0" w:color="auto"/>
              <w:right w:val="nil"/>
            </w:tcBorders>
            <w:shd w:val="clear" w:color="auto" w:fill="auto"/>
            <w:noWrap/>
            <w:vAlign w:val="bottom"/>
            <w:hideMark/>
          </w:tcPr>
          <w:p w14:paraId="11FE11A0"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Empresas do Alto Vale</w:t>
            </w:r>
          </w:p>
        </w:tc>
        <w:tc>
          <w:tcPr>
            <w:tcW w:w="1559" w:type="dxa"/>
            <w:tcBorders>
              <w:top w:val="single" w:sz="4" w:space="0" w:color="auto"/>
              <w:left w:val="nil"/>
              <w:bottom w:val="single" w:sz="4" w:space="0" w:color="auto"/>
              <w:right w:val="nil"/>
            </w:tcBorders>
            <w:shd w:val="clear" w:color="auto" w:fill="auto"/>
            <w:noWrap/>
            <w:vAlign w:val="bottom"/>
            <w:hideMark/>
          </w:tcPr>
          <w:p w14:paraId="5AF6DB93"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50</w:t>
            </w:r>
          </w:p>
        </w:tc>
        <w:tc>
          <w:tcPr>
            <w:tcW w:w="992" w:type="dxa"/>
            <w:tcBorders>
              <w:top w:val="single" w:sz="4" w:space="0" w:color="auto"/>
              <w:left w:val="nil"/>
              <w:bottom w:val="single" w:sz="4" w:space="0" w:color="auto"/>
              <w:right w:val="nil"/>
            </w:tcBorders>
            <w:shd w:val="clear" w:color="auto" w:fill="auto"/>
            <w:noWrap/>
            <w:vAlign w:val="bottom"/>
            <w:hideMark/>
          </w:tcPr>
          <w:p w14:paraId="4B5275F0"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28%</w:t>
            </w:r>
          </w:p>
        </w:tc>
      </w:tr>
      <w:tr w:rsidR="00543720" w:rsidRPr="00543720" w14:paraId="1EB9E40E" w14:textId="77777777" w:rsidTr="003A3A81">
        <w:trPr>
          <w:trHeight w:val="308"/>
        </w:trPr>
        <w:tc>
          <w:tcPr>
            <w:tcW w:w="1984" w:type="dxa"/>
            <w:tcBorders>
              <w:top w:val="single" w:sz="4" w:space="0" w:color="auto"/>
              <w:left w:val="nil"/>
              <w:bottom w:val="single" w:sz="4" w:space="0" w:color="auto"/>
              <w:right w:val="nil"/>
            </w:tcBorders>
            <w:shd w:val="clear" w:color="auto" w:fill="auto"/>
            <w:noWrap/>
            <w:vAlign w:val="bottom"/>
            <w:hideMark/>
          </w:tcPr>
          <w:p w14:paraId="0795E33F" w14:textId="6D53479C" w:rsidR="00543720" w:rsidRPr="00543720" w:rsidRDefault="00543720" w:rsidP="003C6000">
            <w:pPr>
              <w:ind w:left="-69"/>
              <w:rPr>
                <w:rFonts w:eastAsia="Times New Roman"/>
                <w:color w:val="000000"/>
                <w:sz w:val="20"/>
                <w:szCs w:val="20"/>
                <w:lang w:eastAsia="pt-BR"/>
              </w:rPr>
            </w:pPr>
            <w:r w:rsidRPr="00543720">
              <w:rPr>
                <w:rFonts w:eastAsia="Times New Roman"/>
                <w:color w:val="000000"/>
                <w:sz w:val="20"/>
                <w:szCs w:val="20"/>
                <w:lang w:eastAsia="pt-BR"/>
              </w:rPr>
              <w:t>Empresas de fora</w:t>
            </w:r>
          </w:p>
        </w:tc>
        <w:tc>
          <w:tcPr>
            <w:tcW w:w="1134" w:type="dxa"/>
            <w:tcBorders>
              <w:top w:val="nil"/>
              <w:left w:val="nil"/>
              <w:bottom w:val="single" w:sz="4" w:space="0" w:color="auto"/>
              <w:right w:val="nil"/>
            </w:tcBorders>
            <w:shd w:val="clear" w:color="auto" w:fill="auto"/>
            <w:noWrap/>
            <w:vAlign w:val="bottom"/>
            <w:hideMark/>
          </w:tcPr>
          <w:p w14:paraId="1C3BAC39"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115</w:t>
            </w:r>
          </w:p>
        </w:tc>
        <w:tc>
          <w:tcPr>
            <w:tcW w:w="709" w:type="dxa"/>
            <w:tcBorders>
              <w:top w:val="nil"/>
              <w:left w:val="nil"/>
              <w:bottom w:val="single" w:sz="4" w:space="0" w:color="auto"/>
              <w:right w:val="nil"/>
            </w:tcBorders>
            <w:shd w:val="clear" w:color="auto" w:fill="auto"/>
            <w:noWrap/>
            <w:vAlign w:val="bottom"/>
            <w:hideMark/>
          </w:tcPr>
          <w:p w14:paraId="384AD35C"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32%</w:t>
            </w:r>
          </w:p>
        </w:tc>
        <w:tc>
          <w:tcPr>
            <w:tcW w:w="1843" w:type="dxa"/>
            <w:tcBorders>
              <w:top w:val="nil"/>
              <w:left w:val="nil"/>
              <w:bottom w:val="single" w:sz="4" w:space="0" w:color="auto"/>
              <w:right w:val="nil"/>
            </w:tcBorders>
            <w:shd w:val="clear" w:color="auto" w:fill="auto"/>
            <w:noWrap/>
            <w:vAlign w:val="bottom"/>
            <w:hideMark/>
          </w:tcPr>
          <w:p w14:paraId="299B434B"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 xml:space="preserve"> Empresas de fora</w:t>
            </w:r>
          </w:p>
        </w:tc>
        <w:tc>
          <w:tcPr>
            <w:tcW w:w="1559" w:type="dxa"/>
            <w:tcBorders>
              <w:top w:val="nil"/>
              <w:left w:val="nil"/>
              <w:bottom w:val="single" w:sz="4" w:space="0" w:color="auto"/>
              <w:right w:val="nil"/>
            </w:tcBorders>
            <w:shd w:val="clear" w:color="auto" w:fill="auto"/>
            <w:noWrap/>
            <w:vAlign w:val="bottom"/>
            <w:hideMark/>
          </w:tcPr>
          <w:p w14:paraId="44716A0A"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67</w:t>
            </w:r>
          </w:p>
        </w:tc>
        <w:tc>
          <w:tcPr>
            <w:tcW w:w="992" w:type="dxa"/>
            <w:tcBorders>
              <w:top w:val="nil"/>
              <w:left w:val="nil"/>
              <w:bottom w:val="single" w:sz="4" w:space="0" w:color="auto"/>
              <w:right w:val="nil"/>
            </w:tcBorders>
            <w:shd w:val="clear" w:color="auto" w:fill="auto"/>
            <w:noWrap/>
            <w:vAlign w:val="bottom"/>
            <w:hideMark/>
          </w:tcPr>
          <w:p w14:paraId="4DFDDAA6" w14:textId="77777777" w:rsidR="00543720" w:rsidRPr="00543720" w:rsidRDefault="00543720" w:rsidP="00543720">
            <w:pPr>
              <w:jc w:val="center"/>
              <w:rPr>
                <w:rFonts w:eastAsia="Times New Roman"/>
                <w:color w:val="000000"/>
                <w:sz w:val="20"/>
                <w:szCs w:val="20"/>
                <w:lang w:eastAsia="pt-BR"/>
              </w:rPr>
            </w:pPr>
            <w:r w:rsidRPr="00543720">
              <w:rPr>
                <w:rFonts w:eastAsia="Times New Roman"/>
                <w:color w:val="000000"/>
                <w:sz w:val="20"/>
                <w:szCs w:val="20"/>
                <w:lang w:eastAsia="pt-BR"/>
              </w:rPr>
              <w:t>37%</w:t>
            </w:r>
          </w:p>
        </w:tc>
      </w:tr>
    </w:tbl>
    <w:p w14:paraId="30230E3F" w14:textId="77CAFCD5" w:rsidR="00543720" w:rsidRDefault="003A3A81" w:rsidP="00BD73BB">
      <w:pPr>
        <w:spacing w:after="160" w:line="259" w:lineRule="auto"/>
        <w:ind w:left="284"/>
        <w:rPr>
          <w:sz w:val="20"/>
          <w:szCs w:val="20"/>
        </w:rPr>
      </w:pPr>
      <w:r>
        <w:rPr>
          <w:sz w:val="20"/>
          <w:szCs w:val="20"/>
        </w:rPr>
        <w:t>Fonte: Dados da pesquisa (2021)</w:t>
      </w:r>
    </w:p>
    <w:p w14:paraId="7000A943" w14:textId="77777777" w:rsidR="00BD73BB" w:rsidRDefault="00BD73BB" w:rsidP="00617D92">
      <w:pPr>
        <w:spacing w:after="160"/>
        <w:ind w:left="284"/>
        <w:rPr>
          <w:sz w:val="20"/>
          <w:szCs w:val="20"/>
        </w:rPr>
      </w:pPr>
    </w:p>
    <w:p w14:paraId="2C948283" w14:textId="4E8F2D24" w:rsidR="001D6050" w:rsidRDefault="001D6050" w:rsidP="001D6050">
      <w:pPr>
        <w:pStyle w:val="UnidaviTexto-Espao15"/>
      </w:pPr>
      <w:r>
        <w:t xml:space="preserve">Identificou-se ainda que das 358 participações no ano de 2020, tiveram apenas 197 que foram vencedoras no processo licitatório do município. </w:t>
      </w:r>
    </w:p>
    <w:p w14:paraId="79AFDB5B" w14:textId="59647E32" w:rsidR="006B4F46" w:rsidRDefault="006B4F46" w:rsidP="00617D92">
      <w:pPr>
        <w:pStyle w:val="UnidaviTexto-Espao15"/>
        <w:spacing w:line="240" w:lineRule="auto"/>
        <w:ind w:firstLine="0"/>
      </w:pPr>
    </w:p>
    <w:p w14:paraId="2E191895" w14:textId="1E81E4EE" w:rsidR="001D6050" w:rsidRDefault="003A3A81" w:rsidP="003A3A81">
      <w:pPr>
        <w:pStyle w:val="UnidaviTexto-Espao15"/>
        <w:spacing w:line="240" w:lineRule="auto"/>
        <w:ind w:left="284" w:firstLine="0"/>
      </w:pPr>
      <w:r w:rsidRPr="007F2776">
        <w:rPr>
          <w:b/>
          <w:sz w:val="20"/>
        </w:rPr>
        <w:t>Gr</w:t>
      </w:r>
      <w:r>
        <w:rPr>
          <w:b/>
          <w:sz w:val="20"/>
        </w:rPr>
        <w:t>áfico 25</w:t>
      </w:r>
      <w:r w:rsidRPr="007F2776">
        <w:rPr>
          <w:b/>
          <w:sz w:val="20"/>
        </w:rPr>
        <w:t xml:space="preserve"> – </w:t>
      </w:r>
      <w:r>
        <w:rPr>
          <w:b/>
          <w:sz w:val="20"/>
        </w:rPr>
        <w:t>Quantidade de participações vencedoras por região no ano 2020</w:t>
      </w:r>
    </w:p>
    <w:p w14:paraId="1B27D7A1" w14:textId="222914E7" w:rsidR="001D6050" w:rsidRDefault="001D6050" w:rsidP="0053459E">
      <w:pPr>
        <w:spacing w:after="160"/>
        <w:ind w:left="284" w:right="284"/>
        <w:contextualSpacing/>
        <w:rPr>
          <w:b/>
          <w:sz w:val="20"/>
        </w:rPr>
      </w:pPr>
      <w:r>
        <w:rPr>
          <w:noProof/>
          <w:lang w:eastAsia="pt-BR"/>
        </w:rPr>
        <w:drawing>
          <wp:inline distT="0" distB="0" distL="0" distR="0" wp14:anchorId="71ED3489" wp14:editId="6A8772AF">
            <wp:extent cx="5216056" cy="2345055"/>
            <wp:effectExtent l="0" t="0" r="3810" b="1714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4560F6A" w14:textId="49969899" w:rsidR="001D6050" w:rsidRDefault="003A3A81" w:rsidP="001D6050">
      <w:pPr>
        <w:spacing w:after="160"/>
        <w:ind w:left="284" w:right="284"/>
        <w:contextualSpacing/>
        <w:rPr>
          <w:sz w:val="20"/>
        </w:rPr>
      </w:pPr>
      <w:r w:rsidRPr="00775A65">
        <w:rPr>
          <w:sz w:val="20"/>
        </w:rPr>
        <w:t>Fonte: Dados da pesquisa (2021)</w:t>
      </w:r>
    </w:p>
    <w:p w14:paraId="10F336E4" w14:textId="77777777" w:rsidR="001D6050" w:rsidRPr="001D6050" w:rsidRDefault="001D6050" w:rsidP="00617D92">
      <w:pPr>
        <w:spacing w:after="160"/>
        <w:ind w:left="284" w:right="284"/>
        <w:contextualSpacing/>
        <w:rPr>
          <w:sz w:val="20"/>
          <w:szCs w:val="20"/>
        </w:rPr>
      </w:pPr>
    </w:p>
    <w:p w14:paraId="4127608F" w14:textId="11E278AD" w:rsidR="00543720" w:rsidRDefault="001D6050" w:rsidP="005C033E">
      <w:pPr>
        <w:pStyle w:val="UnidaviTexto-Espao15"/>
      </w:pPr>
      <w:r>
        <w:t xml:space="preserve">Pode-se observar </w:t>
      </w:r>
      <w:r w:rsidR="00617D92">
        <w:t xml:space="preserve">no Gráfico 25 </w:t>
      </w:r>
      <w:r>
        <w:t>que a maioria das participações vencedoras no ano de 2020, foram de empresas de fora do Alto</w:t>
      </w:r>
      <w:r w:rsidR="00783A49">
        <w:t xml:space="preserve"> Vale do Itajaí, que representaram</w:t>
      </w:r>
      <w:r>
        <w:t xml:space="preserve"> </w:t>
      </w:r>
      <w:r w:rsidR="005C033E">
        <w:t>85</w:t>
      </w:r>
      <w:r>
        <w:t xml:space="preserve"> das </w:t>
      </w:r>
      <w:r w:rsidR="005C033E">
        <w:t>197</w:t>
      </w:r>
      <w:r>
        <w:t xml:space="preserve"> participações</w:t>
      </w:r>
      <w:r w:rsidR="005C033E">
        <w:t xml:space="preserve"> cerca de 43</w:t>
      </w:r>
      <w:r>
        <w:t xml:space="preserve">%, e que </w:t>
      </w:r>
      <w:r w:rsidR="005C033E">
        <w:t>62</w:t>
      </w:r>
      <w:r>
        <w:t xml:space="preserve"> participações foram de empresas do município de Taió representadas por 32% do total. As participações do Alto Vale do Itajaí representaram </w:t>
      </w:r>
      <w:r w:rsidR="005C033E">
        <w:t>50 cerca de 25</w:t>
      </w:r>
      <w:r>
        <w:t>%</w:t>
      </w:r>
      <w:r w:rsidR="00A7222A">
        <w:t xml:space="preserve"> do total</w:t>
      </w:r>
      <w:r>
        <w:t>.</w:t>
      </w:r>
    </w:p>
    <w:p w14:paraId="62237AFF" w14:textId="77777777" w:rsidR="005962FB" w:rsidRPr="003A3A81" w:rsidRDefault="005962FB" w:rsidP="00617D92">
      <w:pPr>
        <w:pStyle w:val="UnidaviTexto-Espao15"/>
        <w:spacing w:line="240" w:lineRule="auto"/>
        <w:rPr>
          <w:b/>
        </w:rPr>
      </w:pPr>
    </w:p>
    <w:p w14:paraId="5EFB5A8C" w14:textId="2ED091DA" w:rsidR="00137F9A" w:rsidRPr="003A3A81" w:rsidRDefault="00137F9A" w:rsidP="003A3A81">
      <w:pPr>
        <w:ind w:left="284"/>
        <w:rPr>
          <w:b/>
          <w:sz w:val="20"/>
          <w:szCs w:val="20"/>
        </w:rPr>
      </w:pPr>
      <w:r w:rsidRPr="003A3A81">
        <w:rPr>
          <w:b/>
          <w:sz w:val="20"/>
          <w:szCs w:val="20"/>
        </w:rPr>
        <w:t>Tabela 19 – Valor das empresas vencedoras no ano 2020</w:t>
      </w:r>
    </w:p>
    <w:tbl>
      <w:tblPr>
        <w:tblW w:w="8221" w:type="dxa"/>
        <w:tblInd w:w="284" w:type="dxa"/>
        <w:tblCellMar>
          <w:left w:w="70" w:type="dxa"/>
          <w:right w:w="70" w:type="dxa"/>
        </w:tblCellMar>
        <w:tblLook w:val="04A0" w:firstRow="1" w:lastRow="0" w:firstColumn="1" w:lastColumn="0" w:noHBand="0" w:noVBand="1"/>
      </w:tblPr>
      <w:tblGrid>
        <w:gridCol w:w="2551"/>
        <w:gridCol w:w="1779"/>
        <w:gridCol w:w="2055"/>
        <w:gridCol w:w="1836"/>
      </w:tblGrid>
      <w:tr w:rsidR="00137F9A" w:rsidRPr="00137F9A" w14:paraId="0314EFB3" w14:textId="77777777" w:rsidTr="003C6000">
        <w:trPr>
          <w:trHeight w:val="271"/>
        </w:trPr>
        <w:tc>
          <w:tcPr>
            <w:tcW w:w="2551" w:type="dxa"/>
            <w:tcBorders>
              <w:top w:val="single" w:sz="4" w:space="0" w:color="auto"/>
              <w:left w:val="nil"/>
              <w:bottom w:val="single" w:sz="4" w:space="0" w:color="auto"/>
              <w:right w:val="nil"/>
            </w:tcBorders>
            <w:shd w:val="clear" w:color="000000" w:fill="FFFFFF"/>
            <w:noWrap/>
            <w:vAlign w:val="bottom"/>
            <w:hideMark/>
          </w:tcPr>
          <w:p w14:paraId="225722A4" w14:textId="77777777" w:rsidR="00137F9A" w:rsidRPr="00137F9A" w:rsidRDefault="00137F9A" w:rsidP="003C6000">
            <w:pPr>
              <w:ind w:left="-69"/>
              <w:rPr>
                <w:rFonts w:eastAsia="Times New Roman"/>
                <w:b/>
                <w:bCs/>
                <w:color w:val="000000"/>
                <w:sz w:val="20"/>
                <w:szCs w:val="20"/>
                <w:lang w:eastAsia="pt-BR"/>
              </w:rPr>
            </w:pPr>
            <w:r w:rsidRPr="00137F9A">
              <w:rPr>
                <w:rFonts w:eastAsia="Times New Roman"/>
                <w:b/>
                <w:bCs/>
                <w:color w:val="000000"/>
                <w:sz w:val="20"/>
                <w:szCs w:val="20"/>
                <w:lang w:eastAsia="pt-BR"/>
              </w:rPr>
              <w:t>Vencedores</w:t>
            </w:r>
          </w:p>
        </w:tc>
        <w:tc>
          <w:tcPr>
            <w:tcW w:w="1779" w:type="dxa"/>
            <w:tcBorders>
              <w:top w:val="single" w:sz="4" w:space="0" w:color="auto"/>
              <w:left w:val="nil"/>
              <w:bottom w:val="single" w:sz="4" w:space="0" w:color="auto"/>
              <w:right w:val="nil"/>
            </w:tcBorders>
            <w:shd w:val="clear" w:color="000000" w:fill="FFFFFF"/>
            <w:noWrap/>
            <w:vAlign w:val="bottom"/>
            <w:hideMark/>
          </w:tcPr>
          <w:p w14:paraId="03D8AC72" w14:textId="77777777" w:rsidR="00137F9A" w:rsidRPr="00137F9A" w:rsidRDefault="00137F9A" w:rsidP="00137F9A">
            <w:pPr>
              <w:jc w:val="center"/>
              <w:rPr>
                <w:rFonts w:eastAsia="Times New Roman"/>
                <w:b/>
                <w:bCs/>
                <w:color w:val="000000"/>
                <w:sz w:val="20"/>
                <w:szCs w:val="20"/>
                <w:lang w:eastAsia="pt-BR"/>
              </w:rPr>
            </w:pPr>
            <w:r w:rsidRPr="00137F9A">
              <w:rPr>
                <w:rFonts w:eastAsia="Times New Roman"/>
                <w:b/>
                <w:bCs/>
                <w:color w:val="000000"/>
                <w:sz w:val="20"/>
                <w:szCs w:val="20"/>
                <w:lang w:eastAsia="pt-BR"/>
              </w:rPr>
              <w:t>Total de empresas</w:t>
            </w:r>
          </w:p>
        </w:tc>
        <w:tc>
          <w:tcPr>
            <w:tcW w:w="2055" w:type="dxa"/>
            <w:tcBorders>
              <w:top w:val="single" w:sz="4" w:space="0" w:color="auto"/>
              <w:left w:val="nil"/>
              <w:bottom w:val="single" w:sz="4" w:space="0" w:color="auto"/>
              <w:right w:val="nil"/>
            </w:tcBorders>
            <w:shd w:val="clear" w:color="auto" w:fill="auto"/>
            <w:noWrap/>
            <w:vAlign w:val="bottom"/>
            <w:hideMark/>
          </w:tcPr>
          <w:p w14:paraId="2A5C541A" w14:textId="77777777" w:rsidR="00137F9A" w:rsidRPr="00137F9A" w:rsidRDefault="00137F9A" w:rsidP="00137F9A">
            <w:pPr>
              <w:jc w:val="center"/>
              <w:rPr>
                <w:rFonts w:eastAsia="Times New Roman"/>
                <w:b/>
                <w:bCs/>
                <w:color w:val="000000"/>
                <w:sz w:val="20"/>
                <w:szCs w:val="20"/>
                <w:lang w:eastAsia="pt-BR"/>
              </w:rPr>
            </w:pPr>
            <w:r w:rsidRPr="00137F9A">
              <w:rPr>
                <w:rFonts w:eastAsia="Times New Roman"/>
                <w:b/>
                <w:bCs/>
                <w:color w:val="000000"/>
                <w:sz w:val="20"/>
                <w:szCs w:val="20"/>
                <w:lang w:eastAsia="pt-BR"/>
              </w:rPr>
              <w:t>Valor empresas</w:t>
            </w:r>
          </w:p>
        </w:tc>
        <w:tc>
          <w:tcPr>
            <w:tcW w:w="1836" w:type="dxa"/>
            <w:tcBorders>
              <w:top w:val="single" w:sz="4" w:space="0" w:color="auto"/>
              <w:left w:val="nil"/>
              <w:bottom w:val="single" w:sz="4" w:space="0" w:color="auto"/>
              <w:right w:val="nil"/>
            </w:tcBorders>
            <w:shd w:val="clear" w:color="auto" w:fill="auto"/>
            <w:noWrap/>
            <w:vAlign w:val="bottom"/>
            <w:hideMark/>
          </w:tcPr>
          <w:p w14:paraId="3313363F" w14:textId="77777777" w:rsidR="00137F9A" w:rsidRPr="00137F9A" w:rsidRDefault="00137F9A" w:rsidP="00137F9A">
            <w:pPr>
              <w:jc w:val="center"/>
              <w:rPr>
                <w:rFonts w:eastAsia="Times New Roman"/>
                <w:b/>
                <w:bCs/>
                <w:color w:val="000000"/>
                <w:sz w:val="20"/>
                <w:szCs w:val="20"/>
                <w:lang w:eastAsia="pt-BR"/>
              </w:rPr>
            </w:pPr>
            <w:r w:rsidRPr="00137F9A">
              <w:rPr>
                <w:rFonts w:eastAsia="Times New Roman"/>
                <w:b/>
                <w:bCs/>
                <w:color w:val="000000"/>
                <w:sz w:val="20"/>
                <w:szCs w:val="20"/>
                <w:lang w:eastAsia="pt-BR"/>
              </w:rPr>
              <w:t>%</w:t>
            </w:r>
          </w:p>
        </w:tc>
      </w:tr>
      <w:tr w:rsidR="00137F9A" w:rsidRPr="00137F9A" w14:paraId="06A34C03" w14:textId="77777777" w:rsidTr="003C6000">
        <w:trPr>
          <w:trHeight w:val="271"/>
        </w:trPr>
        <w:tc>
          <w:tcPr>
            <w:tcW w:w="2551" w:type="dxa"/>
            <w:tcBorders>
              <w:top w:val="nil"/>
              <w:left w:val="nil"/>
              <w:bottom w:val="single" w:sz="4" w:space="0" w:color="auto"/>
              <w:right w:val="nil"/>
            </w:tcBorders>
            <w:shd w:val="clear" w:color="000000" w:fill="FFFFFF"/>
            <w:noWrap/>
            <w:vAlign w:val="bottom"/>
            <w:hideMark/>
          </w:tcPr>
          <w:p w14:paraId="553C4D37" w14:textId="77777777" w:rsidR="00137F9A" w:rsidRPr="00137F9A" w:rsidRDefault="00137F9A" w:rsidP="003C6000">
            <w:pPr>
              <w:ind w:left="-69"/>
              <w:rPr>
                <w:rFonts w:eastAsia="Times New Roman"/>
                <w:color w:val="000000"/>
                <w:sz w:val="20"/>
                <w:szCs w:val="20"/>
                <w:lang w:eastAsia="pt-BR"/>
              </w:rPr>
            </w:pPr>
            <w:r w:rsidRPr="00137F9A">
              <w:rPr>
                <w:rFonts w:eastAsia="Times New Roman"/>
                <w:color w:val="000000"/>
                <w:sz w:val="20"/>
                <w:szCs w:val="20"/>
                <w:lang w:eastAsia="pt-BR"/>
              </w:rPr>
              <w:t>Ano 2020</w:t>
            </w:r>
          </w:p>
        </w:tc>
        <w:tc>
          <w:tcPr>
            <w:tcW w:w="1779" w:type="dxa"/>
            <w:tcBorders>
              <w:top w:val="nil"/>
              <w:left w:val="nil"/>
              <w:bottom w:val="single" w:sz="4" w:space="0" w:color="auto"/>
              <w:right w:val="nil"/>
            </w:tcBorders>
            <w:shd w:val="clear" w:color="000000" w:fill="FFFFFF"/>
            <w:noWrap/>
            <w:vAlign w:val="bottom"/>
            <w:hideMark/>
          </w:tcPr>
          <w:p w14:paraId="056B10C0"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197</w:t>
            </w:r>
          </w:p>
        </w:tc>
        <w:tc>
          <w:tcPr>
            <w:tcW w:w="2055" w:type="dxa"/>
            <w:tcBorders>
              <w:top w:val="nil"/>
              <w:left w:val="nil"/>
              <w:bottom w:val="single" w:sz="4" w:space="0" w:color="auto"/>
              <w:right w:val="nil"/>
            </w:tcBorders>
            <w:shd w:val="clear" w:color="auto" w:fill="auto"/>
            <w:noWrap/>
            <w:vAlign w:val="bottom"/>
            <w:hideMark/>
          </w:tcPr>
          <w:p w14:paraId="776E5117"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20.216.383,25</w:t>
            </w:r>
          </w:p>
        </w:tc>
        <w:tc>
          <w:tcPr>
            <w:tcW w:w="1836" w:type="dxa"/>
            <w:tcBorders>
              <w:top w:val="nil"/>
              <w:left w:val="nil"/>
              <w:bottom w:val="single" w:sz="4" w:space="0" w:color="auto"/>
              <w:right w:val="nil"/>
            </w:tcBorders>
            <w:shd w:val="clear" w:color="auto" w:fill="auto"/>
            <w:noWrap/>
            <w:vAlign w:val="bottom"/>
            <w:hideMark/>
          </w:tcPr>
          <w:p w14:paraId="5E29DA29"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100%</w:t>
            </w:r>
          </w:p>
        </w:tc>
      </w:tr>
      <w:tr w:rsidR="00137F9A" w:rsidRPr="00137F9A" w14:paraId="276944FF" w14:textId="77777777" w:rsidTr="003C6000">
        <w:trPr>
          <w:trHeight w:val="271"/>
        </w:trPr>
        <w:tc>
          <w:tcPr>
            <w:tcW w:w="2551" w:type="dxa"/>
            <w:tcBorders>
              <w:top w:val="nil"/>
              <w:left w:val="nil"/>
              <w:bottom w:val="single" w:sz="4" w:space="0" w:color="auto"/>
              <w:right w:val="nil"/>
            </w:tcBorders>
            <w:shd w:val="clear" w:color="000000" w:fill="FFFFFF"/>
            <w:noWrap/>
            <w:vAlign w:val="bottom"/>
            <w:hideMark/>
          </w:tcPr>
          <w:p w14:paraId="41A7BEE5" w14:textId="77777777" w:rsidR="00137F9A" w:rsidRPr="00137F9A" w:rsidRDefault="00137F9A" w:rsidP="003C6000">
            <w:pPr>
              <w:ind w:left="-69"/>
              <w:rPr>
                <w:rFonts w:eastAsia="Times New Roman"/>
                <w:color w:val="000000"/>
                <w:sz w:val="20"/>
                <w:szCs w:val="20"/>
                <w:lang w:eastAsia="pt-BR"/>
              </w:rPr>
            </w:pPr>
            <w:r w:rsidRPr="00137F9A">
              <w:rPr>
                <w:rFonts w:eastAsia="Times New Roman"/>
                <w:color w:val="000000"/>
                <w:sz w:val="20"/>
                <w:szCs w:val="20"/>
                <w:lang w:eastAsia="pt-BR"/>
              </w:rPr>
              <w:t>Valor Empresas de Taió</w:t>
            </w:r>
          </w:p>
        </w:tc>
        <w:tc>
          <w:tcPr>
            <w:tcW w:w="1779" w:type="dxa"/>
            <w:tcBorders>
              <w:top w:val="nil"/>
              <w:left w:val="nil"/>
              <w:bottom w:val="single" w:sz="4" w:space="0" w:color="auto"/>
              <w:right w:val="nil"/>
            </w:tcBorders>
            <w:shd w:val="clear" w:color="000000" w:fill="FFFFFF"/>
            <w:noWrap/>
            <w:vAlign w:val="bottom"/>
            <w:hideMark/>
          </w:tcPr>
          <w:p w14:paraId="5B532CAF"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62</w:t>
            </w:r>
          </w:p>
        </w:tc>
        <w:tc>
          <w:tcPr>
            <w:tcW w:w="2055" w:type="dxa"/>
            <w:tcBorders>
              <w:top w:val="nil"/>
              <w:left w:val="nil"/>
              <w:bottom w:val="single" w:sz="4" w:space="0" w:color="auto"/>
              <w:right w:val="nil"/>
            </w:tcBorders>
            <w:shd w:val="clear" w:color="000000" w:fill="FFFFFF"/>
            <w:noWrap/>
            <w:vAlign w:val="bottom"/>
            <w:hideMark/>
          </w:tcPr>
          <w:p w14:paraId="20E61915"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7.691.497,92</w:t>
            </w:r>
          </w:p>
        </w:tc>
        <w:tc>
          <w:tcPr>
            <w:tcW w:w="1836" w:type="dxa"/>
            <w:tcBorders>
              <w:top w:val="nil"/>
              <w:left w:val="nil"/>
              <w:bottom w:val="single" w:sz="4" w:space="0" w:color="auto"/>
              <w:right w:val="nil"/>
            </w:tcBorders>
            <w:shd w:val="clear" w:color="000000" w:fill="FFFFFF"/>
            <w:noWrap/>
            <w:vAlign w:val="bottom"/>
            <w:hideMark/>
          </w:tcPr>
          <w:p w14:paraId="365CF67F"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38%</w:t>
            </w:r>
          </w:p>
        </w:tc>
      </w:tr>
      <w:tr w:rsidR="00137F9A" w:rsidRPr="00137F9A" w14:paraId="0D7A2A0E" w14:textId="77777777" w:rsidTr="003C6000">
        <w:trPr>
          <w:trHeight w:val="271"/>
        </w:trPr>
        <w:tc>
          <w:tcPr>
            <w:tcW w:w="2551" w:type="dxa"/>
            <w:tcBorders>
              <w:top w:val="nil"/>
              <w:left w:val="nil"/>
              <w:bottom w:val="single" w:sz="4" w:space="0" w:color="auto"/>
              <w:right w:val="nil"/>
            </w:tcBorders>
            <w:shd w:val="clear" w:color="000000" w:fill="FFFFFF"/>
            <w:noWrap/>
            <w:vAlign w:val="bottom"/>
            <w:hideMark/>
          </w:tcPr>
          <w:p w14:paraId="0C88C2D5" w14:textId="77777777" w:rsidR="00137F9A" w:rsidRPr="00137F9A" w:rsidRDefault="00137F9A" w:rsidP="003C6000">
            <w:pPr>
              <w:ind w:left="-69"/>
              <w:rPr>
                <w:rFonts w:eastAsia="Times New Roman"/>
                <w:color w:val="000000"/>
                <w:sz w:val="20"/>
                <w:szCs w:val="20"/>
                <w:lang w:eastAsia="pt-BR"/>
              </w:rPr>
            </w:pPr>
            <w:r w:rsidRPr="00137F9A">
              <w:rPr>
                <w:rFonts w:eastAsia="Times New Roman"/>
                <w:color w:val="000000"/>
                <w:sz w:val="20"/>
                <w:szCs w:val="20"/>
                <w:lang w:eastAsia="pt-BR"/>
              </w:rPr>
              <w:t>Valor Empresas do Alto Vale</w:t>
            </w:r>
          </w:p>
        </w:tc>
        <w:tc>
          <w:tcPr>
            <w:tcW w:w="1779" w:type="dxa"/>
            <w:tcBorders>
              <w:top w:val="nil"/>
              <w:left w:val="nil"/>
              <w:bottom w:val="single" w:sz="4" w:space="0" w:color="auto"/>
              <w:right w:val="nil"/>
            </w:tcBorders>
            <w:shd w:val="clear" w:color="000000" w:fill="FFFFFF"/>
            <w:noWrap/>
            <w:vAlign w:val="bottom"/>
            <w:hideMark/>
          </w:tcPr>
          <w:p w14:paraId="75A710D6"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50</w:t>
            </w:r>
          </w:p>
        </w:tc>
        <w:tc>
          <w:tcPr>
            <w:tcW w:w="2055" w:type="dxa"/>
            <w:tcBorders>
              <w:top w:val="nil"/>
              <w:left w:val="nil"/>
              <w:bottom w:val="single" w:sz="4" w:space="0" w:color="auto"/>
              <w:right w:val="nil"/>
            </w:tcBorders>
            <w:shd w:val="clear" w:color="000000" w:fill="FFFFFF"/>
            <w:noWrap/>
            <w:vAlign w:val="bottom"/>
            <w:hideMark/>
          </w:tcPr>
          <w:p w14:paraId="253DC912"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6.493.798,95</w:t>
            </w:r>
          </w:p>
        </w:tc>
        <w:tc>
          <w:tcPr>
            <w:tcW w:w="1836" w:type="dxa"/>
            <w:tcBorders>
              <w:top w:val="nil"/>
              <w:left w:val="nil"/>
              <w:bottom w:val="single" w:sz="4" w:space="0" w:color="auto"/>
              <w:right w:val="nil"/>
            </w:tcBorders>
            <w:shd w:val="clear" w:color="000000" w:fill="FFFFFF"/>
            <w:noWrap/>
            <w:vAlign w:val="bottom"/>
            <w:hideMark/>
          </w:tcPr>
          <w:p w14:paraId="4E577D99"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32%</w:t>
            </w:r>
          </w:p>
        </w:tc>
      </w:tr>
      <w:tr w:rsidR="00137F9A" w:rsidRPr="00137F9A" w14:paraId="5E7DE217" w14:textId="77777777" w:rsidTr="003C6000">
        <w:trPr>
          <w:trHeight w:val="271"/>
        </w:trPr>
        <w:tc>
          <w:tcPr>
            <w:tcW w:w="2551" w:type="dxa"/>
            <w:tcBorders>
              <w:top w:val="nil"/>
              <w:left w:val="nil"/>
              <w:bottom w:val="single" w:sz="4" w:space="0" w:color="auto"/>
              <w:right w:val="nil"/>
            </w:tcBorders>
            <w:shd w:val="clear" w:color="000000" w:fill="FFFFFF"/>
            <w:noWrap/>
            <w:vAlign w:val="bottom"/>
            <w:hideMark/>
          </w:tcPr>
          <w:p w14:paraId="22AC1BE7" w14:textId="77777777" w:rsidR="00137F9A" w:rsidRPr="00137F9A" w:rsidRDefault="00137F9A" w:rsidP="003C6000">
            <w:pPr>
              <w:ind w:left="-69"/>
              <w:rPr>
                <w:rFonts w:eastAsia="Times New Roman"/>
                <w:color w:val="000000"/>
                <w:sz w:val="20"/>
                <w:szCs w:val="20"/>
                <w:lang w:eastAsia="pt-BR"/>
              </w:rPr>
            </w:pPr>
            <w:r w:rsidRPr="00137F9A">
              <w:rPr>
                <w:rFonts w:eastAsia="Times New Roman"/>
                <w:color w:val="000000"/>
                <w:sz w:val="20"/>
                <w:szCs w:val="20"/>
                <w:lang w:eastAsia="pt-BR"/>
              </w:rPr>
              <w:t>Valor Empresas de Fora</w:t>
            </w:r>
          </w:p>
        </w:tc>
        <w:tc>
          <w:tcPr>
            <w:tcW w:w="1779" w:type="dxa"/>
            <w:tcBorders>
              <w:top w:val="nil"/>
              <w:left w:val="nil"/>
              <w:bottom w:val="single" w:sz="4" w:space="0" w:color="auto"/>
              <w:right w:val="nil"/>
            </w:tcBorders>
            <w:shd w:val="clear" w:color="000000" w:fill="FFFFFF"/>
            <w:noWrap/>
            <w:vAlign w:val="bottom"/>
            <w:hideMark/>
          </w:tcPr>
          <w:p w14:paraId="3FB724F7"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85</w:t>
            </w:r>
          </w:p>
        </w:tc>
        <w:tc>
          <w:tcPr>
            <w:tcW w:w="2055" w:type="dxa"/>
            <w:tcBorders>
              <w:top w:val="nil"/>
              <w:left w:val="nil"/>
              <w:bottom w:val="single" w:sz="4" w:space="0" w:color="auto"/>
              <w:right w:val="nil"/>
            </w:tcBorders>
            <w:shd w:val="clear" w:color="000000" w:fill="FFFFFF"/>
            <w:noWrap/>
            <w:vAlign w:val="bottom"/>
            <w:hideMark/>
          </w:tcPr>
          <w:p w14:paraId="7011EC79"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6.031.086,38</w:t>
            </w:r>
          </w:p>
        </w:tc>
        <w:tc>
          <w:tcPr>
            <w:tcW w:w="1836" w:type="dxa"/>
            <w:tcBorders>
              <w:top w:val="nil"/>
              <w:left w:val="nil"/>
              <w:bottom w:val="single" w:sz="4" w:space="0" w:color="auto"/>
              <w:right w:val="nil"/>
            </w:tcBorders>
            <w:shd w:val="clear" w:color="000000" w:fill="FFFFFF"/>
            <w:noWrap/>
            <w:vAlign w:val="bottom"/>
            <w:hideMark/>
          </w:tcPr>
          <w:p w14:paraId="7AA9C880"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30%</w:t>
            </w:r>
          </w:p>
        </w:tc>
      </w:tr>
    </w:tbl>
    <w:p w14:paraId="3223AAD8" w14:textId="483B904F" w:rsidR="00137F9A" w:rsidRDefault="00775A65" w:rsidP="003A3A81">
      <w:pPr>
        <w:spacing w:after="160" w:line="259" w:lineRule="auto"/>
        <w:ind w:left="284"/>
        <w:rPr>
          <w:sz w:val="20"/>
          <w:szCs w:val="20"/>
        </w:rPr>
      </w:pPr>
      <w:r>
        <w:rPr>
          <w:sz w:val="20"/>
          <w:szCs w:val="20"/>
        </w:rPr>
        <w:t>Fonte: Dados da pesquisa (2021)</w:t>
      </w:r>
    </w:p>
    <w:p w14:paraId="71056BCD" w14:textId="77777777" w:rsidR="005C033E" w:rsidRDefault="005C033E" w:rsidP="003C6000">
      <w:pPr>
        <w:spacing w:after="160" w:line="360" w:lineRule="auto"/>
        <w:rPr>
          <w:sz w:val="20"/>
          <w:szCs w:val="20"/>
        </w:rPr>
      </w:pPr>
    </w:p>
    <w:p w14:paraId="15EAC653" w14:textId="7A688F08" w:rsidR="005C033E" w:rsidRDefault="005C033E" w:rsidP="005C033E">
      <w:pPr>
        <w:pStyle w:val="UnidaviTexto-Espao15"/>
      </w:pPr>
      <w:r>
        <w:lastRenderedPageBreak/>
        <w:t>No ano de 2020</w:t>
      </w:r>
      <w:r w:rsidR="00617D92">
        <w:t xml:space="preserve"> conforme aponta a tabela 19</w:t>
      </w:r>
      <w:r>
        <w:t xml:space="preserve">, as 77 licitações realizadas totalizaram o valor de R$ 20.216.383,25. Desse total, R$ 7.691.497,92 foram para empresas do município de Taió, R$ 6.493.798,95 foram para empresas que fazem parte do Alto Vale do Itajaí e 6.031.086,38 foram para empresas que são de fora do Alto Vale do Itajaí. Percebe-se que apesar de a quantidade de participações de fora do Alto Vale do Itajaí terem sido consideravelmente maior do que as participações </w:t>
      </w:r>
      <w:r w:rsidR="0081144E">
        <w:t>do município de Taió</w:t>
      </w:r>
      <w:r w:rsidR="00A7222A">
        <w:t>,</w:t>
      </w:r>
      <w:r>
        <w:t xml:space="preserve"> </w:t>
      </w:r>
      <w:r w:rsidR="0081144E">
        <w:t xml:space="preserve">ainda </w:t>
      </w:r>
      <w:r w:rsidR="00A7222A">
        <w:t>assim, foi maior o valor das empresas locais.</w:t>
      </w:r>
    </w:p>
    <w:p w14:paraId="5ADD4315" w14:textId="4FABC2DF" w:rsidR="006B4F46" w:rsidRDefault="006B4F46" w:rsidP="00617D92">
      <w:pPr>
        <w:pStyle w:val="UnidaviTexto-Espao15"/>
        <w:spacing w:line="240" w:lineRule="auto"/>
        <w:ind w:firstLine="0"/>
      </w:pPr>
    </w:p>
    <w:p w14:paraId="3FA20309" w14:textId="4A5B7033" w:rsidR="0081144E" w:rsidRPr="003A3A81" w:rsidRDefault="003A3A81" w:rsidP="003A3A81">
      <w:pPr>
        <w:ind w:left="284" w:right="425"/>
        <w:contextualSpacing/>
        <w:rPr>
          <w:b/>
          <w:sz w:val="20"/>
        </w:rPr>
      </w:pPr>
      <w:r w:rsidRPr="007F2776">
        <w:rPr>
          <w:b/>
          <w:sz w:val="20"/>
        </w:rPr>
        <w:t>Gr</w:t>
      </w:r>
      <w:r>
        <w:rPr>
          <w:b/>
          <w:sz w:val="20"/>
        </w:rPr>
        <w:t>áfico 26</w:t>
      </w:r>
      <w:r w:rsidRPr="007F2776">
        <w:rPr>
          <w:b/>
          <w:sz w:val="20"/>
        </w:rPr>
        <w:t xml:space="preserve"> – </w:t>
      </w:r>
      <w:r>
        <w:rPr>
          <w:b/>
          <w:sz w:val="20"/>
        </w:rPr>
        <w:t>Valor das empresas vencedoras por região no ano 2020</w:t>
      </w:r>
    </w:p>
    <w:p w14:paraId="24D7F7C7" w14:textId="7EE29ABA" w:rsidR="0081144E" w:rsidRDefault="0081144E" w:rsidP="0053459E">
      <w:pPr>
        <w:pStyle w:val="UnidaviTexto-Espao15"/>
        <w:spacing w:line="240" w:lineRule="auto"/>
        <w:ind w:left="284" w:right="283" w:firstLine="0"/>
      </w:pPr>
      <w:r>
        <w:rPr>
          <w:noProof/>
        </w:rPr>
        <w:drawing>
          <wp:inline distT="0" distB="0" distL="0" distR="0" wp14:anchorId="5656C615" wp14:editId="5C71F309">
            <wp:extent cx="5239910" cy="2496185"/>
            <wp:effectExtent l="0" t="0" r="18415" b="1841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FF8B5C" w14:textId="5C6AF551" w:rsidR="0081144E" w:rsidRPr="00186136" w:rsidRDefault="00775A65" w:rsidP="0081144E">
      <w:pPr>
        <w:spacing w:after="160"/>
        <w:ind w:left="284" w:right="425"/>
        <w:contextualSpacing/>
        <w:rPr>
          <w:b/>
          <w:sz w:val="20"/>
        </w:rPr>
      </w:pPr>
      <w:r>
        <w:rPr>
          <w:sz w:val="20"/>
        </w:rPr>
        <w:t>Fonte: Dados da pesquisa (2021)</w:t>
      </w:r>
    </w:p>
    <w:p w14:paraId="0EE11DEC" w14:textId="5EBCE112" w:rsidR="00137F9A" w:rsidRDefault="00137F9A" w:rsidP="003A3A81">
      <w:pPr>
        <w:pStyle w:val="UNIDAVISEOSECUNDARIA"/>
        <w:spacing w:line="360" w:lineRule="auto"/>
        <w:rPr>
          <w:lang w:val="pt-BR"/>
        </w:rPr>
      </w:pPr>
    </w:p>
    <w:p w14:paraId="310E376B" w14:textId="657C13FD" w:rsidR="0081144E" w:rsidRDefault="0081144E" w:rsidP="0081144E">
      <w:pPr>
        <w:pStyle w:val="UnidaviTexto-Espao15"/>
      </w:pPr>
      <w:r>
        <w:t>Em se tratando de valores licitados no ano de 2020</w:t>
      </w:r>
      <w:r w:rsidR="004F7596">
        <w:t xml:space="preserve"> o Gráfico 26 ilustra que</w:t>
      </w:r>
      <w:r>
        <w:t>, 38% do valor total representado por R$ 7.691.497,92 foram das empresas vencedoras que p</w:t>
      </w:r>
      <w:r w:rsidR="004F7596">
        <w:t>ertencem ao município de Taió, 32 % cerca de R$ 6.493.798,95 foi o valor vencido por empresas do Alto Vale do Itajaí e 30% representado por R$ 6.031.086,38 foi o valor vencido pelas empresas de fora do Alto Vale do Itajaí.</w:t>
      </w:r>
    </w:p>
    <w:p w14:paraId="1B3D9E88" w14:textId="0A29734B" w:rsidR="00137F9A" w:rsidRDefault="0081144E" w:rsidP="0081144E">
      <w:pPr>
        <w:pStyle w:val="UnidaviTexto-Espao15"/>
      </w:pPr>
      <w:r>
        <w:t>A quantidade de participações vencedoras o ano de 2020 que foram representadas por empresas c</w:t>
      </w:r>
      <w:r w:rsidR="0097440C">
        <w:t>lassificadas como ME – Microe</w:t>
      </w:r>
      <w:r>
        <w:t>mpresa e EPP – Empresa de Pequeno Porte, e que usufruíram do benefício da Lei Complementar nº 123/06, onde empresas enquadradas nessas duas categorias possuem uma vantagem de 5% a 10% em relação às empresas de porte maior são apresentadas na Tabela 20.</w:t>
      </w:r>
    </w:p>
    <w:p w14:paraId="37FEFEA7" w14:textId="77777777" w:rsidR="00137F9A" w:rsidRDefault="00137F9A" w:rsidP="004F7596">
      <w:pPr>
        <w:pStyle w:val="UNIDAVISEOSECUNDARIA"/>
        <w:rPr>
          <w:lang w:val="pt-BR"/>
        </w:rPr>
      </w:pPr>
    </w:p>
    <w:p w14:paraId="2A2DB0C8" w14:textId="1F1E4776" w:rsidR="00137F9A" w:rsidRPr="003A3A81" w:rsidRDefault="003A3A81" w:rsidP="003A3A81">
      <w:pPr>
        <w:ind w:left="284"/>
        <w:rPr>
          <w:b/>
          <w:sz w:val="20"/>
          <w:szCs w:val="20"/>
        </w:rPr>
      </w:pPr>
      <w:r>
        <w:rPr>
          <w:b/>
          <w:sz w:val="20"/>
          <w:szCs w:val="20"/>
        </w:rPr>
        <w:t>Tabela 20 – Qtde</w:t>
      </w:r>
      <w:r w:rsidR="00137F9A" w:rsidRPr="003A3A81">
        <w:rPr>
          <w:b/>
          <w:sz w:val="20"/>
          <w:szCs w:val="20"/>
        </w:rPr>
        <w:t xml:space="preserve"> e valor das empresas enquadradas como </w:t>
      </w:r>
      <w:r w:rsidR="007B3779" w:rsidRPr="003A3A81">
        <w:rPr>
          <w:b/>
          <w:sz w:val="20"/>
          <w:szCs w:val="20"/>
        </w:rPr>
        <w:t>ME/EPP participantes no ano 2020</w:t>
      </w:r>
    </w:p>
    <w:tbl>
      <w:tblPr>
        <w:tblW w:w="8221" w:type="dxa"/>
        <w:tblInd w:w="284" w:type="dxa"/>
        <w:tblCellMar>
          <w:left w:w="70" w:type="dxa"/>
          <w:right w:w="70" w:type="dxa"/>
        </w:tblCellMar>
        <w:tblLook w:val="04A0" w:firstRow="1" w:lastRow="0" w:firstColumn="1" w:lastColumn="0" w:noHBand="0" w:noVBand="1"/>
      </w:tblPr>
      <w:tblGrid>
        <w:gridCol w:w="1984"/>
        <w:gridCol w:w="993"/>
        <w:gridCol w:w="894"/>
        <w:gridCol w:w="2082"/>
        <w:gridCol w:w="1290"/>
        <w:gridCol w:w="978"/>
      </w:tblGrid>
      <w:tr w:rsidR="00137F9A" w:rsidRPr="00137F9A" w14:paraId="134DF1E9" w14:textId="77777777" w:rsidTr="00775A65">
        <w:trPr>
          <w:trHeight w:val="311"/>
        </w:trPr>
        <w:tc>
          <w:tcPr>
            <w:tcW w:w="1984" w:type="dxa"/>
            <w:tcBorders>
              <w:top w:val="single" w:sz="4" w:space="0" w:color="auto"/>
              <w:left w:val="nil"/>
              <w:bottom w:val="single" w:sz="4" w:space="0" w:color="auto"/>
              <w:right w:val="nil"/>
            </w:tcBorders>
            <w:shd w:val="clear" w:color="000000" w:fill="FFFFFF"/>
            <w:noWrap/>
            <w:vAlign w:val="bottom"/>
            <w:hideMark/>
          </w:tcPr>
          <w:p w14:paraId="22BA747C" w14:textId="77777777" w:rsidR="00137F9A" w:rsidRPr="00137F9A" w:rsidRDefault="00137F9A" w:rsidP="003C6000">
            <w:pPr>
              <w:ind w:left="-69"/>
              <w:rPr>
                <w:rFonts w:eastAsia="Times New Roman"/>
                <w:b/>
                <w:bCs/>
                <w:color w:val="000000"/>
                <w:sz w:val="20"/>
                <w:szCs w:val="20"/>
                <w:lang w:eastAsia="pt-BR"/>
              </w:rPr>
            </w:pPr>
            <w:r w:rsidRPr="00137F9A">
              <w:rPr>
                <w:rFonts w:eastAsia="Times New Roman"/>
                <w:b/>
                <w:bCs/>
                <w:color w:val="000000"/>
                <w:sz w:val="20"/>
                <w:szCs w:val="20"/>
                <w:lang w:eastAsia="pt-BR"/>
              </w:rPr>
              <w:t>Vencedores ME/EPP</w:t>
            </w:r>
          </w:p>
        </w:tc>
        <w:tc>
          <w:tcPr>
            <w:tcW w:w="993" w:type="dxa"/>
            <w:tcBorders>
              <w:top w:val="single" w:sz="4" w:space="0" w:color="auto"/>
              <w:left w:val="nil"/>
              <w:bottom w:val="single" w:sz="4" w:space="0" w:color="auto"/>
              <w:right w:val="nil"/>
            </w:tcBorders>
            <w:shd w:val="clear" w:color="000000" w:fill="FFFFFF"/>
            <w:noWrap/>
            <w:vAlign w:val="bottom"/>
            <w:hideMark/>
          </w:tcPr>
          <w:p w14:paraId="66136FBE" w14:textId="77777777" w:rsidR="00137F9A" w:rsidRPr="00137F9A" w:rsidRDefault="00137F9A" w:rsidP="00137F9A">
            <w:pPr>
              <w:jc w:val="center"/>
              <w:rPr>
                <w:rFonts w:eastAsia="Times New Roman"/>
                <w:b/>
                <w:bCs/>
                <w:color w:val="000000"/>
                <w:sz w:val="20"/>
                <w:szCs w:val="20"/>
                <w:lang w:eastAsia="pt-BR"/>
              </w:rPr>
            </w:pPr>
            <w:r w:rsidRPr="00137F9A">
              <w:rPr>
                <w:rFonts w:eastAsia="Times New Roman"/>
                <w:b/>
                <w:bCs/>
                <w:color w:val="000000"/>
                <w:sz w:val="20"/>
                <w:szCs w:val="20"/>
                <w:lang w:eastAsia="pt-BR"/>
              </w:rPr>
              <w:t>Nº de empresas</w:t>
            </w:r>
          </w:p>
        </w:tc>
        <w:tc>
          <w:tcPr>
            <w:tcW w:w="894" w:type="dxa"/>
            <w:tcBorders>
              <w:top w:val="single" w:sz="4" w:space="0" w:color="auto"/>
              <w:left w:val="nil"/>
              <w:bottom w:val="single" w:sz="4" w:space="0" w:color="auto"/>
              <w:right w:val="nil"/>
            </w:tcBorders>
            <w:shd w:val="clear" w:color="000000" w:fill="FFFFFF"/>
            <w:noWrap/>
            <w:vAlign w:val="bottom"/>
            <w:hideMark/>
          </w:tcPr>
          <w:p w14:paraId="12B2BCCB" w14:textId="77777777" w:rsidR="00137F9A" w:rsidRPr="00137F9A" w:rsidRDefault="00137F9A" w:rsidP="00137F9A">
            <w:pPr>
              <w:jc w:val="center"/>
              <w:rPr>
                <w:rFonts w:eastAsia="Times New Roman"/>
                <w:b/>
                <w:bCs/>
                <w:color w:val="000000"/>
                <w:sz w:val="20"/>
                <w:szCs w:val="20"/>
                <w:lang w:eastAsia="pt-BR"/>
              </w:rPr>
            </w:pPr>
            <w:r w:rsidRPr="00137F9A">
              <w:rPr>
                <w:rFonts w:eastAsia="Times New Roman"/>
                <w:b/>
                <w:bCs/>
                <w:color w:val="000000"/>
                <w:sz w:val="20"/>
                <w:szCs w:val="20"/>
                <w:lang w:eastAsia="pt-BR"/>
              </w:rPr>
              <w:t>%</w:t>
            </w:r>
          </w:p>
        </w:tc>
        <w:tc>
          <w:tcPr>
            <w:tcW w:w="2082" w:type="dxa"/>
            <w:tcBorders>
              <w:top w:val="single" w:sz="4" w:space="0" w:color="auto"/>
              <w:left w:val="nil"/>
              <w:bottom w:val="single" w:sz="4" w:space="0" w:color="auto"/>
              <w:right w:val="nil"/>
            </w:tcBorders>
            <w:shd w:val="clear" w:color="000000" w:fill="FFFFFF"/>
            <w:noWrap/>
            <w:vAlign w:val="bottom"/>
            <w:hideMark/>
          </w:tcPr>
          <w:p w14:paraId="6E017961" w14:textId="77777777" w:rsidR="00137F9A" w:rsidRPr="00137F9A" w:rsidRDefault="00137F9A" w:rsidP="00137F9A">
            <w:pPr>
              <w:rPr>
                <w:rFonts w:eastAsia="Times New Roman"/>
                <w:b/>
                <w:bCs/>
                <w:color w:val="000000"/>
                <w:sz w:val="20"/>
                <w:szCs w:val="20"/>
                <w:lang w:eastAsia="pt-BR"/>
              </w:rPr>
            </w:pPr>
            <w:r w:rsidRPr="00137F9A">
              <w:rPr>
                <w:rFonts w:eastAsia="Times New Roman"/>
                <w:b/>
                <w:bCs/>
                <w:color w:val="000000"/>
                <w:sz w:val="20"/>
                <w:szCs w:val="20"/>
                <w:lang w:eastAsia="pt-BR"/>
              </w:rPr>
              <w:t>Vencedores ME/EPP</w:t>
            </w:r>
          </w:p>
        </w:tc>
        <w:tc>
          <w:tcPr>
            <w:tcW w:w="1290" w:type="dxa"/>
            <w:tcBorders>
              <w:top w:val="single" w:sz="4" w:space="0" w:color="auto"/>
              <w:left w:val="nil"/>
              <w:bottom w:val="single" w:sz="4" w:space="0" w:color="auto"/>
              <w:right w:val="nil"/>
            </w:tcBorders>
            <w:shd w:val="clear" w:color="000000" w:fill="FFFFFF"/>
            <w:noWrap/>
            <w:vAlign w:val="bottom"/>
            <w:hideMark/>
          </w:tcPr>
          <w:p w14:paraId="499A82F0" w14:textId="77777777" w:rsidR="00137F9A" w:rsidRPr="00137F9A" w:rsidRDefault="00137F9A" w:rsidP="00137F9A">
            <w:pPr>
              <w:jc w:val="center"/>
              <w:rPr>
                <w:rFonts w:eastAsia="Times New Roman"/>
                <w:b/>
                <w:bCs/>
                <w:color w:val="000000"/>
                <w:sz w:val="20"/>
                <w:szCs w:val="20"/>
                <w:lang w:eastAsia="pt-BR"/>
              </w:rPr>
            </w:pPr>
            <w:r w:rsidRPr="00137F9A">
              <w:rPr>
                <w:rFonts w:eastAsia="Times New Roman"/>
                <w:b/>
                <w:bCs/>
                <w:color w:val="000000"/>
                <w:sz w:val="20"/>
                <w:szCs w:val="20"/>
                <w:lang w:eastAsia="pt-BR"/>
              </w:rPr>
              <w:t>Valor</w:t>
            </w:r>
          </w:p>
        </w:tc>
        <w:tc>
          <w:tcPr>
            <w:tcW w:w="978" w:type="dxa"/>
            <w:tcBorders>
              <w:top w:val="single" w:sz="4" w:space="0" w:color="auto"/>
              <w:left w:val="nil"/>
              <w:bottom w:val="single" w:sz="4" w:space="0" w:color="auto"/>
              <w:right w:val="nil"/>
            </w:tcBorders>
            <w:shd w:val="clear" w:color="auto" w:fill="auto"/>
            <w:noWrap/>
            <w:vAlign w:val="bottom"/>
            <w:hideMark/>
          </w:tcPr>
          <w:p w14:paraId="479DFF0A" w14:textId="77777777" w:rsidR="00137F9A" w:rsidRPr="00137F9A" w:rsidRDefault="00137F9A" w:rsidP="00137F9A">
            <w:pPr>
              <w:jc w:val="center"/>
              <w:rPr>
                <w:rFonts w:eastAsia="Times New Roman"/>
                <w:b/>
                <w:bCs/>
                <w:color w:val="000000"/>
                <w:sz w:val="20"/>
                <w:szCs w:val="20"/>
                <w:lang w:eastAsia="pt-BR"/>
              </w:rPr>
            </w:pPr>
            <w:r w:rsidRPr="00137F9A">
              <w:rPr>
                <w:rFonts w:eastAsia="Times New Roman"/>
                <w:b/>
                <w:bCs/>
                <w:color w:val="000000"/>
                <w:sz w:val="20"/>
                <w:szCs w:val="20"/>
                <w:lang w:eastAsia="pt-BR"/>
              </w:rPr>
              <w:t>%</w:t>
            </w:r>
          </w:p>
        </w:tc>
      </w:tr>
      <w:tr w:rsidR="00137F9A" w:rsidRPr="00137F9A" w14:paraId="461CFC2D" w14:textId="77777777" w:rsidTr="00775A65">
        <w:trPr>
          <w:trHeight w:val="311"/>
        </w:trPr>
        <w:tc>
          <w:tcPr>
            <w:tcW w:w="1984" w:type="dxa"/>
            <w:tcBorders>
              <w:top w:val="nil"/>
              <w:left w:val="nil"/>
              <w:bottom w:val="single" w:sz="4" w:space="0" w:color="auto"/>
              <w:right w:val="nil"/>
            </w:tcBorders>
            <w:shd w:val="clear" w:color="000000" w:fill="FFFFFF"/>
            <w:noWrap/>
            <w:vAlign w:val="bottom"/>
            <w:hideMark/>
          </w:tcPr>
          <w:p w14:paraId="304631DD" w14:textId="77777777" w:rsidR="00137F9A" w:rsidRPr="00137F9A" w:rsidRDefault="00137F9A" w:rsidP="003C6000">
            <w:pPr>
              <w:ind w:left="-69"/>
              <w:rPr>
                <w:rFonts w:eastAsia="Times New Roman"/>
                <w:color w:val="000000"/>
                <w:sz w:val="20"/>
                <w:szCs w:val="20"/>
                <w:lang w:eastAsia="pt-BR"/>
              </w:rPr>
            </w:pPr>
            <w:r w:rsidRPr="00137F9A">
              <w:rPr>
                <w:rFonts w:eastAsia="Times New Roman"/>
                <w:color w:val="000000"/>
                <w:sz w:val="20"/>
                <w:szCs w:val="20"/>
                <w:lang w:eastAsia="pt-BR"/>
              </w:rPr>
              <w:t>Ano 2020</w:t>
            </w:r>
          </w:p>
        </w:tc>
        <w:tc>
          <w:tcPr>
            <w:tcW w:w="993" w:type="dxa"/>
            <w:tcBorders>
              <w:top w:val="nil"/>
              <w:left w:val="nil"/>
              <w:bottom w:val="single" w:sz="4" w:space="0" w:color="auto"/>
              <w:right w:val="nil"/>
            </w:tcBorders>
            <w:shd w:val="clear" w:color="000000" w:fill="FFFFFF"/>
            <w:noWrap/>
            <w:vAlign w:val="bottom"/>
            <w:hideMark/>
          </w:tcPr>
          <w:p w14:paraId="0FF3CA4C"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149</w:t>
            </w:r>
          </w:p>
        </w:tc>
        <w:tc>
          <w:tcPr>
            <w:tcW w:w="894" w:type="dxa"/>
            <w:tcBorders>
              <w:top w:val="nil"/>
              <w:left w:val="nil"/>
              <w:bottom w:val="single" w:sz="4" w:space="0" w:color="auto"/>
              <w:right w:val="nil"/>
            </w:tcBorders>
            <w:shd w:val="clear" w:color="000000" w:fill="FFFFFF"/>
            <w:noWrap/>
            <w:vAlign w:val="bottom"/>
            <w:hideMark/>
          </w:tcPr>
          <w:p w14:paraId="16A48560"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100%</w:t>
            </w:r>
          </w:p>
        </w:tc>
        <w:tc>
          <w:tcPr>
            <w:tcW w:w="2082" w:type="dxa"/>
            <w:tcBorders>
              <w:top w:val="nil"/>
              <w:left w:val="nil"/>
              <w:bottom w:val="single" w:sz="4" w:space="0" w:color="auto"/>
              <w:right w:val="nil"/>
            </w:tcBorders>
            <w:shd w:val="clear" w:color="000000" w:fill="FFFFFF"/>
            <w:noWrap/>
            <w:vAlign w:val="bottom"/>
            <w:hideMark/>
          </w:tcPr>
          <w:p w14:paraId="409D7D74" w14:textId="77777777" w:rsidR="00137F9A" w:rsidRPr="00137F9A" w:rsidRDefault="00137F9A" w:rsidP="00137F9A">
            <w:pPr>
              <w:rPr>
                <w:rFonts w:eastAsia="Times New Roman"/>
                <w:color w:val="000000"/>
                <w:sz w:val="20"/>
                <w:szCs w:val="20"/>
                <w:lang w:eastAsia="pt-BR"/>
              </w:rPr>
            </w:pPr>
            <w:r w:rsidRPr="00137F9A">
              <w:rPr>
                <w:rFonts w:eastAsia="Times New Roman"/>
                <w:color w:val="000000"/>
                <w:sz w:val="20"/>
                <w:szCs w:val="20"/>
                <w:lang w:eastAsia="pt-BR"/>
              </w:rPr>
              <w:t>Ano 2020</w:t>
            </w:r>
          </w:p>
        </w:tc>
        <w:tc>
          <w:tcPr>
            <w:tcW w:w="1290" w:type="dxa"/>
            <w:tcBorders>
              <w:top w:val="nil"/>
              <w:left w:val="nil"/>
              <w:bottom w:val="single" w:sz="4" w:space="0" w:color="auto"/>
              <w:right w:val="nil"/>
            </w:tcBorders>
            <w:shd w:val="clear" w:color="000000" w:fill="FFFFFF"/>
            <w:noWrap/>
            <w:vAlign w:val="bottom"/>
            <w:hideMark/>
          </w:tcPr>
          <w:p w14:paraId="74E2B337"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11.141.216,51</w:t>
            </w:r>
          </w:p>
        </w:tc>
        <w:tc>
          <w:tcPr>
            <w:tcW w:w="978" w:type="dxa"/>
            <w:tcBorders>
              <w:top w:val="nil"/>
              <w:left w:val="nil"/>
              <w:bottom w:val="single" w:sz="4" w:space="0" w:color="auto"/>
              <w:right w:val="nil"/>
            </w:tcBorders>
            <w:shd w:val="clear" w:color="auto" w:fill="auto"/>
            <w:noWrap/>
            <w:vAlign w:val="bottom"/>
            <w:hideMark/>
          </w:tcPr>
          <w:p w14:paraId="38022A49"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100%</w:t>
            </w:r>
          </w:p>
        </w:tc>
      </w:tr>
      <w:tr w:rsidR="00137F9A" w:rsidRPr="00137F9A" w14:paraId="25E8AD90" w14:textId="77777777" w:rsidTr="004F7596">
        <w:trPr>
          <w:trHeight w:val="311"/>
        </w:trPr>
        <w:tc>
          <w:tcPr>
            <w:tcW w:w="1984" w:type="dxa"/>
            <w:tcBorders>
              <w:top w:val="nil"/>
              <w:left w:val="nil"/>
              <w:bottom w:val="single" w:sz="4" w:space="0" w:color="auto"/>
              <w:right w:val="nil"/>
            </w:tcBorders>
            <w:shd w:val="clear" w:color="auto" w:fill="auto"/>
            <w:noWrap/>
            <w:vAlign w:val="bottom"/>
            <w:hideMark/>
          </w:tcPr>
          <w:p w14:paraId="61031307" w14:textId="77777777" w:rsidR="00137F9A" w:rsidRPr="00137F9A" w:rsidRDefault="00137F9A" w:rsidP="003C6000">
            <w:pPr>
              <w:ind w:left="-69"/>
              <w:rPr>
                <w:rFonts w:eastAsia="Times New Roman"/>
                <w:color w:val="000000"/>
                <w:sz w:val="20"/>
                <w:szCs w:val="20"/>
                <w:lang w:eastAsia="pt-BR"/>
              </w:rPr>
            </w:pPr>
            <w:r w:rsidRPr="00137F9A">
              <w:rPr>
                <w:rFonts w:eastAsia="Times New Roman"/>
                <w:color w:val="000000"/>
                <w:sz w:val="20"/>
                <w:szCs w:val="20"/>
                <w:lang w:eastAsia="pt-BR"/>
              </w:rPr>
              <w:t>Empresas ME de Taió</w:t>
            </w:r>
          </w:p>
        </w:tc>
        <w:tc>
          <w:tcPr>
            <w:tcW w:w="993" w:type="dxa"/>
            <w:tcBorders>
              <w:top w:val="nil"/>
              <w:left w:val="nil"/>
              <w:bottom w:val="single" w:sz="4" w:space="0" w:color="auto"/>
              <w:right w:val="nil"/>
            </w:tcBorders>
            <w:shd w:val="clear" w:color="auto" w:fill="auto"/>
            <w:noWrap/>
            <w:vAlign w:val="bottom"/>
            <w:hideMark/>
          </w:tcPr>
          <w:p w14:paraId="4DFDD4B9"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54</w:t>
            </w:r>
          </w:p>
        </w:tc>
        <w:tc>
          <w:tcPr>
            <w:tcW w:w="894" w:type="dxa"/>
            <w:tcBorders>
              <w:top w:val="nil"/>
              <w:left w:val="nil"/>
              <w:bottom w:val="single" w:sz="4" w:space="0" w:color="auto"/>
              <w:right w:val="nil"/>
            </w:tcBorders>
            <w:shd w:val="clear" w:color="auto" w:fill="auto"/>
            <w:noWrap/>
            <w:vAlign w:val="bottom"/>
            <w:hideMark/>
          </w:tcPr>
          <w:p w14:paraId="1DD6AD9A"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36%</w:t>
            </w:r>
          </w:p>
        </w:tc>
        <w:tc>
          <w:tcPr>
            <w:tcW w:w="2082" w:type="dxa"/>
            <w:tcBorders>
              <w:top w:val="nil"/>
              <w:left w:val="nil"/>
              <w:bottom w:val="single" w:sz="4" w:space="0" w:color="auto"/>
              <w:right w:val="nil"/>
            </w:tcBorders>
            <w:shd w:val="clear" w:color="000000" w:fill="FFFFFF"/>
            <w:noWrap/>
            <w:vAlign w:val="bottom"/>
            <w:hideMark/>
          </w:tcPr>
          <w:p w14:paraId="4FCEB21A" w14:textId="77777777" w:rsidR="00137F9A" w:rsidRPr="00137F9A" w:rsidRDefault="00137F9A" w:rsidP="00137F9A">
            <w:pPr>
              <w:rPr>
                <w:rFonts w:eastAsia="Times New Roman"/>
                <w:color w:val="000000"/>
                <w:sz w:val="20"/>
                <w:szCs w:val="20"/>
                <w:lang w:eastAsia="pt-BR"/>
              </w:rPr>
            </w:pPr>
            <w:r w:rsidRPr="00137F9A">
              <w:rPr>
                <w:rFonts w:eastAsia="Times New Roman"/>
                <w:color w:val="000000"/>
                <w:sz w:val="20"/>
                <w:szCs w:val="20"/>
                <w:lang w:eastAsia="pt-BR"/>
              </w:rPr>
              <w:t>Valor Empresas de Taió</w:t>
            </w:r>
          </w:p>
        </w:tc>
        <w:tc>
          <w:tcPr>
            <w:tcW w:w="1290" w:type="dxa"/>
            <w:tcBorders>
              <w:top w:val="nil"/>
              <w:left w:val="nil"/>
              <w:bottom w:val="single" w:sz="4" w:space="0" w:color="auto"/>
              <w:right w:val="nil"/>
            </w:tcBorders>
            <w:shd w:val="clear" w:color="000000" w:fill="FFFFFF"/>
            <w:noWrap/>
            <w:vAlign w:val="bottom"/>
            <w:hideMark/>
          </w:tcPr>
          <w:p w14:paraId="47938263"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5.150.195,92</w:t>
            </w:r>
          </w:p>
        </w:tc>
        <w:tc>
          <w:tcPr>
            <w:tcW w:w="978" w:type="dxa"/>
            <w:tcBorders>
              <w:top w:val="nil"/>
              <w:left w:val="nil"/>
              <w:bottom w:val="single" w:sz="4" w:space="0" w:color="auto"/>
              <w:right w:val="nil"/>
            </w:tcBorders>
            <w:shd w:val="clear" w:color="auto" w:fill="auto"/>
            <w:noWrap/>
            <w:vAlign w:val="bottom"/>
            <w:hideMark/>
          </w:tcPr>
          <w:p w14:paraId="00FDDBDF"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46%</w:t>
            </w:r>
          </w:p>
        </w:tc>
      </w:tr>
      <w:tr w:rsidR="00137F9A" w:rsidRPr="00137F9A" w14:paraId="38261AC7" w14:textId="77777777" w:rsidTr="004F7596">
        <w:trPr>
          <w:trHeight w:val="311"/>
        </w:trPr>
        <w:tc>
          <w:tcPr>
            <w:tcW w:w="1984" w:type="dxa"/>
            <w:tcBorders>
              <w:top w:val="single" w:sz="4" w:space="0" w:color="auto"/>
              <w:left w:val="nil"/>
              <w:bottom w:val="single" w:sz="4" w:space="0" w:color="auto"/>
              <w:right w:val="nil"/>
            </w:tcBorders>
            <w:shd w:val="clear" w:color="auto" w:fill="auto"/>
            <w:noWrap/>
            <w:vAlign w:val="bottom"/>
            <w:hideMark/>
          </w:tcPr>
          <w:p w14:paraId="6A5745F4" w14:textId="78C3D96D" w:rsidR="00137F9A" w:rsidRPr="00137F9A" w:rsidRDefault="00775A65" w:rsidP="003C6000">
            <w:pPr>
              <w:ind w:left="-69"/>
              <w:rPr>
                <w:rFonts w:eastAsia="Times New Roman"/>
                <w:color w:val="000000"/>
                <w:sz w:val="20"/>
                <w:szCs w:val="20"/>
                <w:lang w:eastAsia="pt-BR"/>
              </w:rPr>
            </w:pPr>
            <w:r>
              <w:rPr>
                <w:rFonts w:eastAsia="Times New Roman"/>
                <w:color w:val="000000"/>
                <w:sz w:val="20"/>
                <w:szCs w:val="20"/>
                <w:lang w:eastAsia="pt-BR"/>
              </w:rPr>
              <w:lastRenderedPageBreak/>
              <w:t xml:space="preserve">Empresas ME do Alto </w:t>
            </w:r>
            <w:r w:rsidR="00137F9A" w:rsidRPr="00137F9A">
              <w:rPr>
                <w:rFonts w:eastAsia="Times New Roman"/>
                <w:color w:val="000000"/>
                <w:sz w:val="20"/>
                <w:szCs w:val="20"/>
                <w:lang w:eastAsia="pt-BR"/>
              </w:rPr>
              <w:t>Vale</w:t>
            </w:r>
          </w:p>
        </w:tc>
        <w:tc>
          <w:tcPr>
            <w:tcW w:w="993" w:type="dxa"/>
            <w:tcBorders>
              <w:top w:val="single" w:sz="4" w:space="0" w:color="auto"/>
              <w:left w:val="nil"/>
              <w:bottom w:val="single" w:sz="4" w:space="0" w:color="auto"/>
              <w:right w:val="nil"/>
            </w:tcBorders>
            <w:shd w:val="clear" w:color="auto" w:fill="auto"/>
            <w:noWrap/>
            <w:vAlign w:val="bottom"/>
            <w:hideMark/>
          </w:tcPr>
          <w:p w14:paraId="31238269"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28</w:t>
            </w:r>
          </w:p>
        </w:tc>
        <w:tc>
          <w:tcPr>
            <w:tcW w:w="894" w:type="dxa"/>
            <w:tcBorders>
              <w:top w:val="single" w:sz="4" w:space="0" w:color="auto"/>
              <w:left w:val="nil"/>
              <w:bottom w:val="single" w:sz="4" w:space="0" w:color="auto"/>
              <w:right w:val="nil"/>
            </w:tcBorders>
            <w:shd w:val="clear" w:color="auto" w:fill="auto"/>
            <w:noWrap/>
            <w:vAlign w:val="bottom"/>
            <w:hideMark/>
          </w:tcPr>
          <w:p w14:paraId="3A4ED35B"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19%</w:t>
            </w:r>
          </w:p>
        </w:tc>
        <w:tc>
          <w:tcPr>
            <w:tcW w:w="2082" w:type="dxa"/>
            <w:tcBorders>
              <w:top w:val="single" w:sz="4" w:space="0" w:color="auto"/>
              <w:left w:val="nil"/>
              <w:bottom w:val="single" w:sz="4" w:space="0" w:color="auto"/>
              <w:right w:val="nil"/>
            </w:tcBorders>
            <w:shd w:val="clear" w:color="000000" w:fill="FFFFFF"/>
            <w:noWrap/>
            <w:vAlign w:val="bottom"/>
            <w:hideMark/>
          </w:tcPr>
          <w:p w14:paraId="7D0F2265" w14:textId="77777777" w:rsidR="00137F9A" w:rsidRPr="00137F9A" w:rsidRDefault="00137F9A" w:rsidP="00137F9A">
            <w:pPr>
              <w:rPr>
                <w:rFonts w:eastAsia="Times New Roman"/>
                <w:color w:val="000000"/>
                <w:sz w:val="20"/>
                <w:szCs w:val="20"/>
                <w:lang w:eastAsia="pt-BR"/>
              </w:rPr>
            </w:pPr>
            <w:r w:rsidRPr="00137F9A">
              <w:rPr>
                <w:rFonts w:eastAsia="Times New Roman"/>
                <w:color w:val="000000"/>
                <w:sz w:val="20"/>
                <w:szCs w:val="20"/>
                <w:lang w:eastAsia="pt-BR"/>
              </w:rPr>
              <w:t>Valor Empresas do Alto Vale</w:t>
            </w:r>
          </w:p>
        </w:tc>
        <w:tc>
          <w:tcPr>
            <w:tcW w:w="1290" w:type="dxa"/>
            <w:tcBorders>
              <w:top w:val="single" w:sz="4" w:space="0" w:color="auto"/>
              <w:left w:val="nil"/>
              <w:bottom w:val="single" w:sz="4" w:space="0" w:color="auto"/>
              <w:right w:val="nil"/>
            </w:tcBorders>
            <w:shd w:val="clear" w:color="000000" w:fill="FFFFFF"/>
            <w:noWrap/>
            <w:vAlign w:val="bottom"/>
            <w:hideMark/>
          </w:tcPr>
          <w:p w14:paraId="48A782D0"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2.330.523,18</w:t>
            </w:r>
          </w:p>
        </w:tc>
        <w:tc>
          <w:tcPr>
            <w:tcW w:w="978" w:type="dxa"/>
            <w:tcBorders>
              <w:top w:val="single" w:sz="4" w:space="0" w:color="auto"/>
              <w:left w:val="nil"/>
              <w:bottom w:val="single" w:sz="4" w:space="0" w:color="auto"/>
              <w:right w:val="nil"/>
            </w:tcBorders>
            <w:shd w:val="clear" w:color="auto" w:fill="auto"/>
            <w:noWrap/>
            <w:vAlign w:val="bottom"/>
            <w:hideMark/>
          </w:tcPr>
          <w:p w14:paraId="5D5244CB"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21%</w:t>
            </w:r>
          </w:p>
        </w:tc>
      </w:tr>
      <w:tr w:rsidR="00137F9A" w:rsidRPr="00137F9A" w14:paraId="657F7DD9" w14:textId="77777777" w:rsidTr="00775A65">
        <w:trPr>
          <w:trHeight w:val="311"/>
        </w:trPr>
        <w:tc>
          <w:tcPr>
            <w:tcW w:w="1984" w:type="dxa"/>
            <w:tcBorders>
              <w:top w:val="nil"/>
              <w:left w:val="nil"/>
              <w:bottom w:val="single" w:sz="4" w:space="0" w:color="auto"/>
              <w:right w:val="nil"/>
            </w:tcBorders>
            <w:shd w:val="clear" w:color="auto" w:fill="auto"/>
            <w:noWrap/>
            <w:vAlign w:val="bottom"/>
            <w:hideMark/>
          </w:tcPr>
          <w:p w14:paraId="28DE27E0" w14:textId="77777777" w:rsidR="00137F9A" w:rsidRPr="00137F9A" w:rsidRDefault="00137F9A" w:rsidP="003C6000">
            <w:pPr>
              <w:ind w:left="-69"/>
              <w:rPr>
                <w:rFonts w:eastAsia="Times New Roman"/>
                <w:color w:val="000000"/>
                <w:sz w:val="20"/>
                <w:szCs w:val="20"/>
                <w:lang w:eastAsia="pt-BR"/>
              </w:rPr>
            </w:pPr>
            <w:r w:rsidRPr="00137F9A">
              <w:rPr>
                <w:rFonts w:eastAsia="Times New Roman"/>
                <w:color w:val="000000"/>
                <w:sz w:val="20"/>
                <w:szCs w:val="20"/>
                <w:lang w:eastAsia="pt-BR"/>
              </w:rPr>
              <w:t>Empresas ME de fora</w:t>
            </w:r>
          </w:p>
        </w:tc>
        <w:tc>
          <w:tcPr>
            <w:tcW w:w="993" w:type="dxa"/>
            <w:tcBorders>
              <w:top w:val="nil"/>
              <w:left w:val="nil"/>
              <w:bottom w:val="single" w:sz="4" w:space="0" w:color="auto"/>
              <w:right w:val="nil"/>
            </w:tcBorders>
            <w:shd w:val="clear" w:color="auto" w:fill="auto"/>
            <w:noWrap/>
            <w:vAlign w:val="bottom"/>
            <w:hideMark/>
          </w:tcPr>
          <w:p w14:paraId="6DAC7F35"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67</w:t>
            </w:r>
          </w:p>
        </w:tc>
        <w:tc>
          <w:tcPr>
            <w:tcW w:w="894" w:type="dxa"/>
            <w:tcBorders>
              <w:top w:val="nil"/>
              <w:left w:val="nil"/>
              <w:bottom w:val="single" w:sz="4" w:space="0" w:color="auto"/>
              <w:right w:val="nil"/>
            </w:tcBorders>
            <w:shd w:val="clear" w:color="auto" w:fill="auto"/>
            <w:noWrap/>
            <w:vAlign w:val="bottom"/>
            <w:hideMark/>
          </w:tcPr>
          <w:p w14:paraId="0D99155C"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45%</w:t>
            </w:r>
          </w:p>
        </w:tc>
        <w:tc>
          <w:tcPr>
            <w:tcW w:w="2082" w:type="dxa"/>
            <w:tcBorders>
              <w:top w:val="nil"/>
              <w:left w:val="nil"/>
              <w:bottom w:val="single" w:sz="4" w:space="0" w:color="auto"/>
              <w:right w:val="nil"/>
            </w:tcBorders>
            <w:shd w:val="clear" w:color="000000" w:fill="FFFFFF"/>
            <w:noWrap/>
            <w:vAlign w:val="bottom"/>
            <w:hideMark/>
          </w:tcPr>
          <w:p w14:paraId="44D51CB3" w14:textId="77777777" w:rsidR="00137F9A" w:rsidRPr="00137F9A" w:rsidRDefault="00137F9A" w:rsidP="00137F9A">
            <w:pPr>
              <w:rPr>
                <w:rFonts w:eastAsia="Times New Roman"/>
                <w:color w:val="000000"/>
                <w:sz w:val="20"/>
                <w:szCs w:val="20"/>
                <w:lang w:eastAsia="pt-BR"/>
              </w:rPr>
            </w:pPr>
            <w:r w:rsidRPr="00137F9A">
              <w:rPr>
                <w:rFonts w:eastAsia="Times New Roman"/>
                <w:color w:val="000000"/>
                <w:sz w:val="20"/>
                <w:szCs w:val="20"/>
                <w:lang w:eastAsia="pt-BR"/>
              </w:rPr>
              <w:t>Valor Empresas de Fora</w:t>
            </w:r>
          </w:p>
        </w:tc>
        <w:tc>
          <w:tcPr>
            <w:tcW w:w="1290" w:type="dxa"/>
            <w:tcBorders>
              <w:top w:val="nil"/>
              <w:left w:val="nil"/>
              <w:bottom w:val="single" w:sz="4" w:space="0" w:color="auto"/>
              <w:right w:val="nil"/>
            </w:tcBorders>
            <w:shd w:val="clear" w:color="000000" w:fill="FFFFFF"/>
            <w:noWrap/>
            <w:vAlign w:val="bottom"/>
            <w:hideMark/>
          </w:tcPr>
          <w:p w14:paraId="3EBAD44C"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3.660.497,41</w:t>
            </w:r>
          </w:p>
        </w:tc>
        <w:tc>
          <w:tcPr>
            <w:tcW w:w="978" w:type="dxa"/>
            <w:tcBorders>
              <w:top w:val="nil"/>
              <w:left w:val="nil"/>
              <w:bottom w:val="single" w:sz="4" w:space="0" w:color="auto"/>
              <w:right w:val="nil"/>
            </w:tcBorders>
            <w:shd w:val="clear" w:color="auto" w:fill="auto"/>
            <w:noWrap/>
            <w:vAlign w:val="bottom"/>
            <w:hideMark/>
          </w:tcPr>
          <w:p w14:paraId="206F3636" w14:textId="77777777" w:rsidR="00137F9A" w:rsidRPr="00137F9A" w:rsidRDefault="00137F9A" w:rsidP="00137F9A">
            <w:pPr>
              <w:jc w:val="center"/>
              <w:rPr>
                <w:rFonts w:eastAsia="Times New Roman"/>
                <w:color w:val="000000"/>
                <w:sz w:val="20"/>
                <w:szCs w:val="20"/>
                <w:lang w:eastAsia="pt-BR"/>
              </w:rPr>
            </w:pPr>
            <w:r w:rsidRPr="00137F9A">
              <w:rPr>
                <w:rFonts w:eastAsia="Times New Roman"/>
                <w:color w:val="000000"/>
                <w:sz w:val="20"/>
                <w:szCs w:val="20"/>
                <w:lang w:eastAsia="pt-BR"/>
              </w:rPr>
              <w:t>33%</w:t>
            </w:r>
          </w:p>
        </w:tc>
      </w:tr>
    </w:tbl>
    <w:p w14:paraId="41CA2E64" w14:textId="6E2510D1" w:rsidR="00137F9A" w:rsidRDefault="00775A65" w:rsidP="003A3A81">
      <w:pPr>
        <w:spacing w:after="160" w:line="259" w:lineRule="auto"/>
        <w:ind w:left="284"/>
        <w:rPr>
          <w:sz w:val="20"/>
          <w:szCs w:val="20"/>
        </w:rPr>
      </w:pPr>
      <w:r>
        <w:rPr>
          <w:sz w:val="20"/>
          <w:szCs w:val="20"/>
        </w:rPr>
        <w:t>Fonte: Dados da pesquisa (2021)</w:t>
      </w:r>
    </w:p>
    <w:p w14:paraId="1F03092E" w14:textId="77777777" w:rsidR="004F7596" w:rsidRDefault="004F7596" w:rsidP="004F7596">
      <w:pPr>
        <w:spacing w:after="160"/>
        <w:ind w:left="284"/>
        <w:rPr>
          <w:sz w:val="20"/>
          <w:szCs w:val="20"/>
        </w:rPr>
      </w:pPr>
    </w:p>
    <w:p w14:paraId="50CDDFAF" w14:textId="0D913E5E" w:rsidR="007B3779" w:rsidRDefault="004F7596" w:rsidP="007B3779">
      <w:pPr>
        <w:pStyle w:val="UnidaviTexto-Espao15"/>
      </w:pPr>
      <w:r>
        <w:t>A Tabela 20 aponta que e</w:t>
      </w:r>
      <w:r w:rsidR="007B3779">
        <w:t>m 2020, das 197 participações vencedoras das licitações no município de Taió, constatou-se que 149 foram de emp</w:t>
      </w:r>
      <w:r w:rsidR="00522F28">
        <w:t>resas enquadradas como Microe</w:t>
      </w:r>
      <w:r w:rsidR="007B3779">
        <w:t>mpresa e Empresas de Pequeno Porte.</w:t>
      </w:r>
    </w:p>
    <w:p w14:paraId="21DEA411" w14:textId="4C3C2C1F" w:rsidR="003A3A81" w:rsidRDefault="003A3A81" w:rsidP="004F7596">
      <w:pPr>
        <w:pStyle w:val="UnidaviTexto-Espao15"/>
        <w:spacing w:line="240" w:lineRule="auto"/>
        <w:ind w:firstLine="0"/>
      </w:pPr>
    </w:p>
    <w:p w14:paraId="02BECA27" w14:textId="742B284E" w:rsidR="00B17273" w:rsidRPr="003A3A81" w:rsidRDefault="003A3A81" w:rsidP="003A3A81">
      <w:pPr>
        <w:ind w:left="284" w:right="284"/>
        <w:contextualSpacing/>
        <w:rPr>
          <w:b/>
          <w:sz w:val="20"/>
        </w:rPr>
      </w:pPr>
      <w:r w:rsidRPr="007F2776">
        <w:rPr>
          <w:b/>
          <w:sz w:val="20"/>
        </w:rPr>
        <w:t>Gr</w:t>
      </w:r>
      <w:r>
        <w:rPr>
          <w:b/>
          <w:sz w:val="20"/>
        </w:rPr>
        <w:t>áfico 27</w:t>
      </w:r>
      <w:r w:rsidRPr="007F2776">
        <w:rPr>
          <w:b/>
          <w:sz w:val="20"/>
        </w:rPr>
        <w:t xml:space="preserve"> – </w:t>
      </w:r>
      <w:r>
        <w:rPr>
          <w:b/>
          <w:sz w:val="20"/>
        </w:rPr>
        <w:t>Quantidade de participações ME/EPP por região no ano 2020</w:t>
      </w:r>
    </w:p>
    <w:p w14:paraId="7456F229" w14:textId="664EDE74" w:rsidR="004E44B9" w:rsidRDefault="001B2950" w:rsidP="00964922">
      <w:pPr>
        <w:pStyle w:val="UNIDAVISEOSECUNDARIA"/>
        <w:ind w:left="284" w:right="284"/>
        <w:rPr>
          <w:lang w:val="pt-BR"/>
        </w:rPr>
      </w:pPr>
      <w:r>
        <w:rPr>
          <w:noProof/>
          <w:lang w:val="pt-BR" w:eastAsia="pt-BR"/>
        </w:rPr>
        <w:drawing>
          <wp:inline distT="0" distB="0" distL="0" distR="0" wp14:anchorId="7AB8F096" wp14:editId="3BA70DEF">
            <wp:extent cx="5247861" cy="2393315"/>
            <wp:effectExtent l="0" t="0" r="10160" b="698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AD573CB" w14:textId="60AB6738" w:rsidR="007B3779" w:rsidRDefault="007B3779" w:rsidP="001B2950">
      <w:pPr>
        <w:spacing w:after="160"/>
        <w:ind w:left="284" w:right="284"/>
        <w:contextualSpacing/>
        <w:rPr>
          <w:sz w:val="20"/>
        </w:rPr>
      </w:pPr>
      <w:r>
        <w:rPr>
          <w:sz w:val="20"/>
        </w:rPr>
        <w:t xml:space="preserve">Fonte: </w:t>
      </w:r>
      <w:r w:rsidR="00775A65">
        <w:rPr>
          <w:sz w:val="20"/>
        </w:rPr>
        <w:t>Dados da pesquisa (2021)</w:t>
      </w:r>
    </w:p>
    <w:p w14:paraId="214DEB9D" w14:textId="0D737477" w:rsidR="004E44B9" w:rsidRDefault="004E44B9" w:rsidP="00AC60E9">
      <w:pPr>
        <w:pStyle w:val="UNIDAVISEOSECUNDARIA"/>
        <w:rPr>
          <w:lang w:val="pt-BR"/>
        </w:rPr>
      </w:pPr>
    </w:p>
    <w:p w14:paraId="6AC0612C" w14:textId="74786CEE" w:rsidR="007B3779" w:rsidRDefault="007B3779" w:rsidP="007B3779">
      <w:pPr>
        <w:pStyle w:val="UnidaviTexto-Espao15"/>
      </w:pPr>
      <w:r>
        <w:t>Dessas 149 participações</w:t>
      </w:r>
      <w:r w:rsidR="00A7222A">
        <w:t xml:space="preserve"> vencedoras que são ME/EPP, identificou-se que 5</w:t>
      </w:r>
      <w:r>
        <w:t>4 foram de empresas do município de</w:t>
      </w:r>
      <w:r w:rsidR="00A7222A">
        <w:t xml:space="preserve"> Taió, representando cerca de 36</w:t>
      </w:r>
      <w:r>
        <w:t>% do total. Em relação ao Alt</w:t>
      </w:r>
      <w:r w:rsidR="00A7222A">
        <w:t>o Vale do Itajaí constatou-se 28</w:t>
      </w:r>
      <w:r>
        <w:t xml:space="preserve"> participaçõ</w:t>
      </w:r>
      <w:r w:rsidR="00A7222A">
        <w:t>es, representando um total de 28</w:t>
      </w:r>
      <w:r>
        <w:t>%. Já as participações de fora</w:t>
      </w:r>
      <w:r w:rsidR="00A7222A">
        <w:t xml:space="preserve"> do Alto Vale do Itajaí foram 67 cerca de 45</w:t>
      </w:r>
      <w:r>
        <w:t>% do total das participações.</w:t>
      </w:r>
    </w:p>
    <w:p w14:paraId="4AF7DDBF" w14:textId="77777777" w:rsidR="003A3A81" w:rsidRDefault="003A3A81" w:rsidP="00AC60E9">
      <w:pPr>
        <w:pStyle w:val="UnidaviTexto-Espao15"/>
        <w:spacing w:line="240" w:lineRule="auto"/>
      </w:pPr>
    </w:p>
    <w:p w14:paraId="2147BE17" w14:textId="4443BBED" w:rsidR="004E44B9" w:rsidRPr="003A3A81" w:rsidRDefault="003A3A81" w:rsidP="003A3A81">
      <w:pPr>
        <w:ind w:left="284" w:right="284"/>
        <w:contextualSpacing/>
        <w:rPr>
          <w:b/>
          <w:sz w:val="20"/>
        </w:rPr>
      </w:pPr>
      <w:r w:rsidRPr="007F2776">
        <w:rPr>
          <w:b/>
          <w:sz w:val="20"/>
        </w:rPr>
        <w:t>Gr</w:t>
      </w:r>
      <w:r>
        <w:rPr>
          <w:b/>
          <w:sz w:val="20"/>
        </w:rPr>
        <w:t>áfico 28</w:t>
      </w:r>
      <w:r w:rsidRPr="007F2776">
        <w:rPr>
          <w:b/>
          <w:sz w:val="20"/>
        </w:rPr>
        <w:t xml:space="preserve"> – </w:t>
      </w:r>
      <w:r>
        <w:rPr>
          <w:b/>
          <w:sz w:val="20"/>
        </w:rPr>
        <w:t>Valor das empresas ME/EPP por região no ano 2020</w:t>
      </w:r>
    </w:p>
    <w:p w14:paraId="62C5E2E6" w14:textId="0107B1F6" w:rsidR="001B2950" w:rsidRDefault="001B2950" w:rsidP="003937B7">
      <w:pPr>
        <w:pStyle w:val="UNIDAVISEOSECUNDARIA"/>
        <w:ind w:left="284" w:right="284"/>
        <w:rPr>
          <w:lang w:val="pt-BR"/>
        </w:rPr>
      </w:pPr>
      <w:r>
        <w:rPr>
          <w:noProof/>
          <w:lang w:val="pt-BR" w:eastAsia="pt-BR"/>
        </w:rPr>
        <w:drawing>
          <wp:inline distT="0" distB="0" distL="0" distR="0" wp14:anchorId="1F42E783" wp14:editId="75716292">
            <wp:extent cx="5247640" cy="2400935"/>
            <wp:effectExtent l="0" t="0" r="10160" b="1841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F502765" w14:textId="25DF632A" w:rsidR="003A3A81" w:rsidRDefault="00775A65" w:rsidP="00EC21B7">
      <w:pPr>
        <w:spacing w:after="160" w:line="360" w:lineRule="auto"/>
        <w:ind w:left="284" w:right="283"/>
        <w:contextualSpacing/>
        <w:rPr>
          <w:sz w:val="20"/>
        </w:rPr>
      </w:pPr>
      <w:r>
        <w:rPr>
          <w:sz w:val="20"/>
        </w:rPr>
        <w:t>Fonte: Dados da pesquisa (2021)</w:t>
      </w:r>
    </w:p>
    <w:p w14:paraId="71D362B6" w14:textId="561CE95E" w:rsidR="001B2950" w:rsidRPr="00581EE5" w:rsidRDefault="001B2950" w:rsidP="001B2950">
      <w:pPr>
        <w:pStyle w:val="UnidaviTexto-Espao15"/>
      </w:pPr>
      <w:r>
        <w:lastRenderedPageBreak/>
        <w:t>Conforme apresentado o Grá</w:t>
      </w:r>
      <w:r w:rsidR="00A7222A">
        <w:t>fico 28</w:t>
      </w:r>
      <w:r>
        <w:t xml:space="preserve">, o valor maior ficou </w:t>
      </w:r>
      <w:r w:rsidR="00A7222A">
        <w:t>para as</w:t>
      </w:r>
      <w:r>
        <w:t xml:space="preserve"> empresas ME/EPP do município de Taió</w:t>
      </w:r>
      <w:r w:rsidR="00A7222A">
        <w:t>,</w:t>
      </w:r>
      <w:r>
        <w:t xml:space="preserve"> representado por R$ 5.150.195,92. Em seguida ficaram as empresas ME/EPP </w:t>
      </w:r>
      <w:r w:rsidR="00541549">
        <w:t>de fora do Alto Vale do Itajaí</w:t>
      </w:r>
      <w:r>
        <w:t xml:space="preserve"> com um valor de </w:t>
      </w:r>
      <w:r w:rsidR="00541549">
        <w:t>3.660.497,41</w:t>
      </w:r>
      <w:r>
        <w:t xml:space="preserve"> e as empresas do Alto Vale do Itajaí representaram um valor de </w:t>
      </w:r>
      <w:r w:rsidR="00541549">
        <w:t>2.330.523,18</w:t>
      </w:r>
      <w:r>
        <w:t xml:space="preserve">. Pode-se observar que as empresas do </w:t>
      </w:r>
      <w:r w:rsidR="00541549">
        <w:t>município de Taió representaram 46</w:t>
      </w:r>
      <w:r>
        <w:t>% do val</w:t>
      </w:r>
      <w:r w:rsidR="00A94DB2">
        <w:t>or total vencido pelas Microe</w:t>
      </w:r>
      <w:r>
        <w:t>mpresas e pela</w:t>
      </w:r>
      <w:r w:rsidR="00541549">
        <w:t>s Empresas de Pequeno Porte</w:t>
      </w:r>
      <w:r w:rsidR="00A7222A">
        <w:t xml:space="preserve"> sendo destaque entre as três regiões</w:t>
      </w:r>
      <w:r w:rsidR="00541549">
        <w:t>.</w:t>
      </w:r>
    </w:p>
    <w:p w14:paraId="37444CE4" w14:textId="24AF6BE4" w:rsidR="00B17273" w:rsidRDefault="00B17273" w:rsidP="003C6000">
      <w:pPr>
        <w:pStyle w:val="UNIDAVISEOSECUNDARIA"/>
        <w:spacing w:line="360" w:lineRule="auto"/>
        <w:rPr>
          <w:lang w:val="pt-BR"/>
        </w:rPr>
      </w:pPr>
    </w:p>
    <w:p w14:paraId="3D0404AF" w14:textId="7BB0BD5D" w:rsidR="00B17273" w:rsidRDefault="00B17273" w:rsidP="00B17273">
      <w:pPr>
        <w:pStyle w:val="UNIDAVISEOSECUNDARIA"/>
      </w:pPr>
      <w:r>
        <w:t>4.5 licitações no município de taió – evolução entre 2017 a 2020</w:t>
      </w:r>
    </w:p>
    <w:p w14:paraId="3701C60D" w14:textId="5C125D86" w:rsidR="004E44B9" w:rsidRDefault="004E44B9" w:rsidP="003C6000">
      <w:pPr>
        <w:pStyle w:val="UNIDAVISEOSECUNDARIA"/>
        <w:spacing w:line="360" w:lineRule="auto"/>
      </w:pPr>
    </w:p>
    <w:p w14:paraId="13CA5063" w14:textId="2CB83845" w:rsidR="004E44B9" w:rsidRDefault="00D708A4" w:rsidP="005962FB">
      <w:pPr>
        <w:pStyle w:val="UnidaviTexto-Espao15"/>
        <w:tabs>
          <w:tab w:val="left" w:pos="8647"/>
        </w:tabs>
      </w:pPr>
      <w:r>
        <w:t>Em c</w:t>
      </w:r>
      <w:r w:rsidR="00AC60E9">
        <w:t>omparação aos dados colhidos entre</w:t>
      </w:r>
      <w:r>
        <w:t xml:space="preserve"> </w:t>
      </w:r>
      <w:r w:rsidR="00B30E03">
        <w:t xml:space="preserve">anos </w:t>
      </w:r>
      <w:r>
        <w:t>de 2017 a 2020, constatou-se a utilização</w:t>
      </w:r>
      <w:r w:rsidR="009E41DF">
        <w:t xml:space="preserve"> de seis modalidades de licitações, mais as realizações feitas por inexigibilidade e dispensa de licitação, </w:t>
      </w:r>
      <w:r w:rsidR="00B30E03">
        <w:t>que caracterizam o processo li</w:t>
      </w:r>
      <w:r w:rsidR="00AC60E9">
        <w:t xml:space="preserve">citatório do município de Taió conforme apresenta a Tabela 21. </w:t>
      </w:r>
    </w:p>
    <w:p w14:paraId="305D2D77" w14:textId="77777777" w:rsidR="00B17273" w:rsidRDefault="00B17273" w:rsidP="00AC60E9">
      <w:pPr>
        <w:pStyle w:val="UNIDAVISEOSECUNDARIA"/>
      </w:pPr>
    </w:p>
    <w:p w14:paraId="0955AEF7" w14:textId="0C9ADF44" w:rsidR="00373486" w:rsidRPr="00B76BE2" w:rsidRDefault="00B17273" w:rsidP="00B76BE2">
      <w:pPr>
        <w:pStyle w:val="UnidaviTexto-Espao15"/>
        <w:tabs>
          <w:tab w:val="left" w:pos="426"/>
        </w:tabs>
        <w:spacing w:line="240" w:lineRule="auto"/>
        <w:ind w:left="284" w:firstLine="0"/>
        <w:rPr>
          <w:b/>
          <w:sz w:val="20"/>
        </w:rPr>
      </w:pPr>
      <w:r w:rsidRPr="00B76BE2">
        <w:rPr>
          <w:b/>
          <w:sz w:val="20"/>
        </w:rPr>
        <w:t>Tabe</w:t>
      </w:r>
      <w:r w:rsidR="00373486" w:rsidRPr="00B76BE2">
        <w:rPr>
          <w:b/>
          <w:sz w:val="20"/>
        </w:rPr>
        <w:t>la 21 – Quantidade e valores utilizados em cada modalidade de licitação – 2017 a 2020</w:t>
      </w:r>
    </w:p>
    <w:tbl>
      <w:tblPr>
        <w:tblW w:w="8221" w:type="dxa"/>
        <w:tblInd w:w="284" w:type="dxa"/>
        <w:tblCellMar>
          <w:left w:w="70" w:type="dxa"/>
          <w:right w:w="70" w:type="dxa"/>
        </w:tblCellMar>
        <w:tblLook w:val="04A0" w:firstRow="1" w:lastRow="0" w:firstColumn="1" w:lastColumn="0" w:noHBand="0" w:noVBand="1"/>
      </w:tblPr>
      <w:tblGrid>
        <w:gridCol w:w="1124"/>
        <w:gridCol w:w="440"/>
        <w:gridCol w:w="1361"/>
        <w:gridCol w:w="409"/>
        <w:gridCol w:w="1369"/>
        <w:gridCol w:w="595"/>
        <w:gridCol w:w="1348"/>
        <w:gridCol w:w="368"/>
        <w:gridCol w:w="1290"/>
      </w:tblGrid>
      <w:tr w:rsidR="00775A65" w:rsidRPr="00B17273" w14:paraId="5E52D5F0" w14:textId="77777777" w:rsidTr="00775A65">
        <w:trPr>
          <w:trHeight w:val="312"/>
        </w:trPr>
        <w:tc>
          <w:tcPr>
            <w:tcW w:w="1124" w:type="dxa"/>
            <w:tcBorders>
              <w:top w:val="single" w:sz="4" w:space="0" w:color="auto"/>
              <w:left w:val="nil"/>
              <w:bottom w:val="single" w:sz="4" w:space="0" w:color="auto"/>
              <w:right w:val="single" w:sz="4" w:space="0" w:color="auto"/>
            </w:tcBorders>
            <w:shd w:val="clear" w:color="auto" w:fill="auto"/>
            <w:noWrap/>
            <w:vAlign w:val="bottom"/>
            <w:hideMark/>
          </w:tcPr>
          <w:p w14:paraId="78B8C748" w14:textId="77777777" w:rsidR="00B17273" w:rsidRPr="00B17273" w:rsidRDefault="00B17273" w:rsidP="00B17273">
            <w:pPr>
              <w:rPr>
                <w:rFonts w:eastAsia="Times New Roman"/>
                <w:b/>
                <w:bCs/>
                <w:color w:val="000000"/>
                <w:sz w:val="20"/>
                <w:szCs w:val="20"/>
                <w:lang w:eastAsia="pt-BR"/>
              </w:rPr>
            </w:pPr>
            <w:r w:rsidRPr="00B17273">
              <w:rPr>
                <w:rFonts w:eastAsia="Times New Roman"/>
                <w:b/>
                <w:bCs/>
                <w:color w:val="000000"/>
                <w:sz w:val="20"/>
                <w:szCs w:val="20"/>
                <w:lang w:eastAsia="pt-BR"/>
              </w:rPr>
              <w:t> </w:t>
            </w:r>
          </w:p>
        </w:tc>
        <w:tc>
          <w:tcPr>
            <w:tcW w:w="18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C2131C" w14:textId="77777777" w:rsidR="00B17273" w:rsidRPr="00B17273" w:rsidRDefault="00B17273" w:rsidP="00B17273">
            <w:pPr>
              <w:jc w:val="center"/>
              <w:rPr>
                <w:rFonts w:eastAsia="Times New Roman"/>
                <w:b/>
                <w:bCs/>
                <w:color w:val="000000"/>
                <w:sz w:val="20"/>
                <w:szCs w:val="20"/>
                <w:lang w:eastAsia="pt-BR"/>
              </w:rPr>
            </w:pPr>
            <w:r w:rsidRPr="00B17273">
              <w:rPr>
                <w:rFonts w:eastAsia="Times New Roman"/>
                <w:b/>
                <w:bCs/>
                <w:color w:val="000000"/>
                <w:sz w:val="20"/>
                <w:szCs w:val="20"/>
                <w:lang w:eastAsia="pt-BR"/>
              </w:rPr>
              <w:t>2017</w:t>
            </w:r>
          </w:p>
        </w:tc>
        <w:tc>
          <w:tcPr>
            <w:tcW w:w="17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64000D" w14:textId="77777777" w:rsidR="00B17273" w:rsidRPr="00B17273" w:rsidRDefault="00B17273" w:rsidP="00B17273">
            <w:pPr>
              <w:jc w:val="center"/>
              <w:rPr>
                <w:rFonts w:eastAsia="Times New Roman"/>
                <w:b/>
                <w:bCs/>
                <w:color w:val="000000"/>
                <w:sz w:val="20"/>
                <w:szCs w:val="20"/>
                <w:lang w:eastAsia="pt-BR"/>
              </w:rPr>
            </w:pPr>
            <w:r w:rsidRPr="00B17273">
              <w:rPr>
                <w:rFonts w:eastAsia="Times New Roman"/>
                <w:b/>
                <w:bCs/>
                <w:color w:val="000000"/>
                <w:sz w:val="20"/>
                <w:szCs w:val="20"/>
                <w:lang w:eastAsia="pt-BR"/>
              </w:rPr>
              <w:t>2018</w:t>
            </w:r>
          </w:p>
        </w:tc>
        <w:tc>
          <w:tcPr>
            <w:tcW w:w="19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62B542" w14:textId="77777777" w:rsidR="00B17273" w:rsidRPr="00B17273" w:rsidRDefault="00B17273" w:rsidP="00B17273">
            <w:pPr>
              <w:jc w:val="center"/>
              <w:rPr>
                <w:rFonts w:eastAsia="Times New Roman"/>
                <w:b/>
                <w:bCs/>
                <w:color w:val="000000"/>
                <w:sz w:val="20"/>
                <w:szCs w:val="20"/>
                <w:lang w:eastAsia="pt-BR"/>
              </w:rPr>
            </w:pPr>
            <w:r w:rsidRPr="00B17273">
              <w:rPr>
                <w:rFonts w:eastAsia="Times New Roman"/>
                <w:b/>
                <w:bCs/>
                <w:color w:val="000000"/>
                <w:sz w:val="20"/>
                <w:szCs w:val="20"/>
                <w:lang w:eastAsia="pt-BR"/>
              </w:rPr>
              <w:t>2019</w:t>
            </w:r>
          </w:p>
        </w:tc>
        <w:tc>
          <w:tcPr>
            <w:tcW w:w="1575" w:type="dxa"/>
            <w:gridSpan w:val="2"/>
            <w:tcBorders>
              <w:top w:val="single" w:sz="4" w:space="0" w:color="auto"/>
              <w:left w:val="single" w:sz="4" w:space="0" w:color="auto"/>
              <w:bottom w:val="single" w:sz="4" w:space="0" w:color="auto"/>
              <w:right w:val="nil"/>
            </w:tcBorders>
            <w:shd w:val="clear" w:color="auto" w:fill="auto"/>
            <w:noWrap/>
            <w:vAlign w:val="bottom"/>
            <w:hideMark/>
          </w:tcPr>
          <w:p w14:paraId="5FD08A34" w14:textId="77777777" w:rsidR="00B17273" w:rsidRPr="00B17273" w:rsidRDefault="00B17273" w:rsidP="00B17273">
            <w:pPr>
              <w:jc w:val="center"/>
              <w:rPr>
                <w:rFonts w:eastAsia="Times New Roman"/>
                <w:b/>
                <w:bCs/>
                <w:color w:val="000000"/>
                <w:sz w:val="20"/>
                <w:szCs w:val="20"/>
                <w:lang w:eastAsia="pt-BR"/>
              </w:rPr>
            </w:pPr>
            <w:r w:rsidRPr="00B17273">
              <w:rPr>
                <w:rFonts w:eastAsia="Times New Roman"/>
                <w:b/>
                <w:bCs/>
                <w:color w:val="000000"/>
                <w:sz w:val="20"/>
                <w:szCs w:val="20"/>
                <w:lang w:eastAsia="pt-BR"/>
              </w:rPr>
              <w:t>2020</w:t>
            </w:r>
          </w:p>
        </w:tc>
      </w:tr>
      <w:tr w:rsidR="00775A65" w:rsidRPr="00B17273" w14:paraId="5930541D" w14:textId="77777777" w:rsidTr="00775A65">
        <w:trPr>
          <w:trHeight w:val="312"/>
        </w:trPr>
        <w:tc>
          <w:tcPr>
            <w:tcW w:w="1124" w:type="dxa"/>
            <w:tcBorders>
              <w:top w:val="nil"/>
              <w:left w:val="nil"/>
              <w:bottom w:val="single" w:sz="4" w:space="0" w:color="auto"/>
              <w:right w:val="single" w:sz="4" w:space="0" w:color="auto"/>
            </w:tcBorders>
            <w:shd w:val="clear" w:color="auto" w:fill="auto"/>
            <w:noWrap/>
            <w:vAlign w:val="bottom"/>
            <w:hideMark/>
          </w:tcPr>
          <w:p w14:paraId="2AE64B5B" w14:textId="7A57108E" w:rsidR="00B17273" w:rsidRPr="00B17273" w:rsidRDefault="00B76BE2" w:rsidP="004E0FB2">
            <w:pPr>
              <w:ind w:left="-353"/>
              <w:jc w:val="center"/>
              <w:rPr>
                <w:rFonts w:eastAsia="Times New Roman"/>
                <w:b/>
                <w:bCs/>
                <w:color w:val="000000"/>
                <w:sz w:val="20"/>
                <w:szCs w:val="20"/>
                <w:lang w:eastAsia="pt-BR"/>
              </w:rPr>
            </w:pPr>
            <w:r>
              <w:rPr>
                <w:rFonts w:eastAsia="Times New Roman"/>
                <w:b/>
                <w:bCs/>
                <w:color w:val="000000"/>
                <w:sz w:val="20"/>
                <w:szCs w:val="20"/>
                <w:lang w:eastAsia="pt-BR"/>
              </w:rPr>
              <w:t>Modalid.</w:t>
            </w:r>
          </w:p>
        </w:tc>
        <w:tc>
          <w:tcPr>
            <w:tcW w:w="440" w:type="dxa"/>
            <w:tcBorders>
              <w:top w:val="nil"/>
              <w:left w:val="nil"/>
              <w:bottom w:val="single" w:sz="4" w:space="0" w:color="auto"/>
              <w:right w:val="single" w:sz="4" w:space="0" w:color="auto"/>
            </w:tcBorders>
            <w:shd w:val="clear" w:color="auto" w:fill="auto"/>
            <w:noWrap/>
            <w:vAlign w:val="bottom"/>
            <w:hideMark/>
          </w:tcPr>
          <w:p w14:paraId="5FE59C80" w14:textId="1E2579F2" w:rsidR="00B17273" w:rsidRPr="00B17273" w:rsidRDefault="00B76BE2" w:rsidP="00B17273">
            <w:pPr>
              <w:jc w:val="center"/>
              <w:rPr>
                <w:rFonts w:eastAsia="Times New Roman"/>
                <w:b/>
                <w:bCs/>
                <w:color w:val="000000"/>
                <w:sz w:val="20"/>
                <w:szCs w:val="20"/>
                <w:lang w:eastAsia="pt-BR"/>
              </w:rPr>
            </w:pPr>
            <w:r>
              <w:rPr>
                <w:rFonts w:eastAsia="Times New Roman"/>
                <w:b/>
                <w:bCs/>
                <w:color w:val="000000"/>
                <w:sz w:val="20"/>
                <w:szCs w:val="20"/>
                <w:lang w:eastAsia="pt-BR"/>
              </w:rPr>
              <w:t>Q</w:t>
            </w:r>
          </w:p>
        </w:tc>
        <w:tc>
          <w:tcPr>
            <w:tcW w:w="1361" w:type="dxa"/>
            <w:tcBorders>
              <w:top w:val="nil"/>
              <w:left w:val="nil"/>
              <w:bottom w:val="single" w:sz="4" w:space="0" w:color="auto"/>
              <w:right w:val="single" w:sz="4" w:space="0" w:color="auto"/>
            </w:tcBorders>
            <w:shd w:val="clear" w:color="auto" w:fill="auto"/>
            <w:noWrap/>
            <w:vAlign w:val="bottom"/>
            <w:hideMark/>
          </w:tcPr>
          <w:p w14:paraId="06B1CE6B" w14:textId="77777777" w:rsidR="00B17273" w:rsidRPr="00B17273" w:rsidRDefault="00B17273" w:rsidP="00B17273">
            <w:pPr>
              <w:jc w:val="center"/>
              <w:rPr>
                <w:rFonts w:eastAsia="Times New Roman"/>
                <w:b/>
                <w:bCs/>
                <w:color w:val="000000"/>
                <w:sz w:val="20"/>
                <w:szCs w:val="20"/>
                <w:lang w:eastAsia="pt-BR"/>
              </w:rPr>
            </w:pPr>
            <w:r w:rsidRPr="00B17273">
              <w:rPr>
                <w:rFonts w:eastAsia="Times New Roman"/>
                <w:b/>
                <w:bCs/>
                <w:color w:val="000000"/>
                <w:sz w:val="20"/>
                <w:szCs w:val="20"/>
                <w:lang w:eastAsia="pt-BR"/>
              </w:rPr>
              <w:t>Valor</w:t>
            </w:r>
          </w:p>
        </w:tc>
        <w:tc>
          <w:tcPr>
            <w:tcW w:w="409" w:type="dxa"/>
            <w:tcBorders>
              <w:top w:val="nil"/>
              <w:left w:val="nil"/>
              <w:bottom w:val="single" w:sz="4" w:space="0" w:color="auto"/>
              <w:right w:val="single" w:sz="4" w:space="0" w:color="auto"/>
            </w:tcBorders>
            <w:shd w:val="clear" w:color="auto" w:fill="auto"/>
            <w:noWrap/>
            <w:vAlign w:val="bottom"/>
            <w:hideMark/>
          </w:tcPr>
          <w:p w14:paraId="6E489245" w14:textId="58A48EBE" w:rsidR="00B17273" w:rsidRPr="00B17273" w:rsidRDefault="00B76BE2" w:rsidP="00B17273">
            <w:pPr>
              <w:jc w:val="center"/>
              <w:rPr>
                <w:rFonts w:eastAsia="Times New Roman"/>
                <w:b/>
                <w:bCs/>
                <w:color w:val="000000"/>
                <w:sz w:val="20"/>
                <w:szCs w:val="20"/>
                <w:lang w:eastAsia="pt-BR"/>
              </w:rPr>
            </w:pPr>
            <w:r>
              <w:rPr>
                <w:rFonts w:eastAsia="Times New Roman"/>
                <w:b/>
                <w:bCs/>
                <w:color w:val="000000"/>
                <w:sz w:val="20"/>
                <w:szCs w:val="20"/>
                <w:lang w:eastAsia="pt-BR"/>
              </w:rPr>
              <w:t>Q</w:t>
            </w:r>
          </w:p>
        </w:tc>
        <w:tc>
          <w:tcPr>
            <w:tcW w:w="1369" w:type="dxa"/>
            <w:tcBorders>
              <w:top w:val="nil"/>
              <w:left w:val="nil"/>
              <w:bottom w:val="single" w:sz="4" w:space="0" w:color="auto"/>
              <w:right w:val="single" w:sz="4" w:space="0" w:color="auto"/>
            </w:tcBorders>
            <w:shd w:val="clear" w:color="auto" w:fill="auto"/>
            <w:noWrap/>
            <w:vAlign w:val="bottom"/>
            <w:hideMark/>
          </w:tcPr>
          <w:p w14:paraId="71205221" w14:textId="77777777" w:rsidR="00B17273" w:rsidRPr="00B17273" w:rsidRDefault="00B17273" w:rsidP="00B17273">
            <w:pPr>
              <w:jc w:val="center"/>
              <w:rPr>
                <w:rFonts w:eastAsia="Times New Roman"/>
                <w:b/>
                <w:bCs/>
                <w:color w:val="000000"/>
                <w:sz w:val="20"/>
                <w:szCs w:val="20"/>
                <w:lang w:eastAsia="pt-BR"/>
              </w:rPr>
            </w:pPr>
            <w:r w:rsidRPr="00B17273">
              <w:rPr>
                <w:rFonts w:eastAsia="Times New Roman"/>
                <w:b/>
                <w:bCs/>
                <w:color w:val="000000"/>
                <w:sz w:val="20"/>
                <w:szCs w:val="20"/>
                <w:lang w:eastAsia="pt-BR"/>
              </w:rPr>
              <w:t>Valor</w:t>
            </w:r>
          </w:p>
        </w:tc>
        <w:tc>
          <w:tcPr>
            <w:tcW w:w="595" w:type="dxa"/>
            <w:tcBorders>
              <w:top w:val="nil"/>
              <w:left w:val="nil"/>
              <w:bottom w:val="single" w:sz="4" w:space="0" w:color="auto"/>
              <w:right w:val="single" w:sz="4" w:space="0" w:color="auto"/>
            </w:tcBorders>
            <w:shd w:val="clear" w:color="auto" w:fill="auto"/>
            <w:noWrap/>
            <w:vAlign w:val="bottom"/>
            <w:hideMark/>
          </w:tcPr>
          <w:p w14:paraId="7FFBBFEF" w14:textId="2D9B6130" w:rsidR="00B17273" w:rsidRPr="00B17273" w:rsidRDefault="00B76BE2" w:rsidP="00B17273">
            <w:pPr>
              <w:jc w:val="center"/>
              <w:rPr>
                <w:rFonts w:eastAsia="Times New Roman"/>
                <w:b/>
                <w:bCs/>
                <w:color w:val="000000"/>
                <w:sz w:val="20"/>
                <w:szCs w:val="20"/>
                <w:lang w:eastAsia="pt-BR"/>
              </w:rPr>
            </w:pPr>
            <w:r>
              <w:rPr>
                <w:rFonts w:eastAsia="Times New Roman"/>
                <w:b/>
                <w:bCs/>
                <w:color w:val="000000"/>
                <w:sz w:val="20"/>
                <w:szCs w:val="20"/>
                <w:lang w:eastAsia="pt-BR"/>
              </w:rPr>
              <w:t>Q</w:t>
            </w:r>
          </w:p>
        </w:tc>
        <w:tc>
          <w:tcPr>
            <w:tcW w:w="1348" w:type="dxa"/>
            <w:tcBorders>
              <w:top w:val="nil"/>
              <w:left w:val="nil"/>
              <w:bottom w:val="single" w:sz="4" w:space="0" w:color="auto"/>
              <w:right w:val="single" w:sz="4" w:space="0" w:color="auto"/>
            </w:tcBorders>
            <w:shd w:val="clear" w:color="auto" w:fill="auto"/>
            <w:noWrap/>
            <w:vAlign w:val="bottom"/>
            <w:hideMark/>
          </w:tcPr>
          <w:p w14:paraId="77FF2F14" w14:textId="77777777" w:rsidR="00B17273" w:rsidRPr="00B17273" w:rsidRDefault="00B17273" w:rsidP="00B17273">
            <w:pPr>
              <w:jc w:val="center"/>
              <w:rPr>
                <w:rFonts w:eastAsia="Times New Roman"/>
                <w:b/>
                <w:bCs/>
                <w:color w:val="000000"/>
                <w:sz w:val="20"/>
                <w:szCs w:val="20"/>
                <w:lang w:eastAsia="pt-BR"/>
              </w:rPr>
            </w:pPr>
            <w:r w:rsidRPr="00B17273">
              <w:rPr>
                <w:rFonts w:eastAsia="Times New Roman"/>
                <w:b/>
                <w:bCs/>
                <w:color w:val="000000"/>
                <w:sz w:val="20"/>
                <w:szCs w:val="20"/>
                <w:lang w:eastAsia="pt-BR"/>
              </w:rPr>
              <w:t>Valor</w:t>
            </w:r>
          </w:p>
        </w:tc>
        <w:tc>
          <w:tcPr>
            <w:tcW w:w="368" w:type="dxa"/>
            <w:tcBorders>
              <w:top w:val="nil"/>
              <w:left w:val="nil"/>
              <w:bottom w:val="single" w:sz="4" w:space="0" w:color="auto"/>
              <w:right w:val="single" w:sz="4" w:space="0" w:color="auto"/>
            </w:tcBorders>
            <w:shd w:val="clear" w:color="auto" w:fill="auto"/>
            <w:noWrap/>
            <w:vAlign w:val="bottom"/>
            <w:hideMark/>
          </w:tcPr>
          <w:p w14:paraId="13BE0AD4" w14:textId="4B132874" w:rsidR="00B17273" w:rsidRPr="00B17273" w:rsidRDefault="00B76BE2" w:rsidP="00B17273">
            <w:pPr>
              <w:jc w:val="center"/>
              <w:rPr>
                <w:rFonts w:eastAsia="Times New Roman"/>
                <w:b/>
                <w:bCs/>
                <w:color w:val="000000"/>
                <w:sz w:val="20"/>
                <w:szCs w:val="20"/>
                <w:lang w:eastAsia="pt-BR"/>
              </w:rPr>
            </w:pPr>
            <w:r>
              <w:rPr>
                <w:rFonts w:eastAsia="Times New Roman"/>
                <w:b/>
                <w:bCs/>
                <w:color w:val="000000"/>
                <w:sz w:val="20"/>
                <w:szCs w:val="20"/>
                <w:lang w:eastAsia="pt-BR"/>
              </w:rPr>
              <w:t>Q</w:t>
            </w:r>
          </w:p>
        </w:tc>
        <w:tc>
          <w:tcPr>
            <w:tcW w:w="1207" w:type="dxa"/>
            <w:tcBorders>
              <w:top w:val="nil"/>
              <w:left w:val="nil"/>
              <w:bottom w:val="single" w:sz="4" w:space="0" w:color="auto"/>
              <w:right w:val="nil"/>
            </w:tcBorders>
            <w:shd w:val="clear" w:color="auto" w:fill="auto"/>
            <w:noWrap/>
            <w:vAlign w:val="bottom"/>
            <w:hideMark/>
          </w:tcPr>
          <w:p w14:paraId="7CB22487" w14:textId="77777777" w:rsidR="00B17273" w:rsidRPr="00B17273" w:rsidRDefault="00B17273" w:rsidP="00B17273">
            <w:pPr>
              <w:jc w:val="center"/>
              <w:rPr>
                <w:rFonts w:eastAsia="Times New Roman"/>
                <w:b/>
                <w:bCs/>
                <w:color w:val="000000"/>
                <w:sz w:val="20"/>
                <w:szCs w:val="20"/>
                <w:lang w:eastAsia="pt-BR"/>
              </w:rPr>
            </w:pPr>
            <w:r w:rsidRPr="00B17273">
              <w:rPr>
                <w:rFonts w:eastAsia="Times New Roman"/>
                <w:b/>
                <w:bCs/>
                <w:color w:val="000000"/>
                <w:sz w:val="20"/>
                <w:szCs w:val="20"/>
                <w:lang w:eastAsia="pt-BR"/>
              </w:rPr>
              <w:t>Valor</w:t>
            </w:r>
          </w:p>
        </w:tc>
      </w:tr>
      <w:tr w:rsidR="00775A65" w:rsidRPr="00B17273" w14:paraId="5DBF0971" w14:textId="77777777" w:rsidTr="00775A65">
        <w:trPr>
          <w:trHeight w:val="312"/>
        </w:trPr>
        <w:tc>
          <w:tcPr>
            <w:tcW w:w="1124" w:type="dxa"/>
            <w:tcBorders>
              <w:top w:val="nil"/>
              <w:left w:val="nil"/>
              <w:bottom w:val="single" w:sz="4" w:space="0" w:color="auto"/>
              <w:right w:val="single" w:sz="4" w:space="0" w:color="auto"/>
            </w:tcBorders>
            <w:shd w:val="clear" w:color="000000" w:fill="FFFFFF"/>
            <w:noWrap/>
            <w:vAlign w:val="bottom"/>
            <w:hideMark/>
          </w:tcPr>
          <w:p w14:paraId="2E17CD27" w14:textId="77777777" w:rsidR="00B17273" w:rsidRPr="00B17273" w:rsidRDefault="00B17273" w:rsidP="004E0FB2">
            <w:pPr>
              <w:ind w:left="-69"/>
              <w:rPr>
                <w:rFonts w:eastAsia="Times New Roman"/>
                <w:color w:val="000000"/>
                <w:sz w:val="20"/>
                <w:szCs w:val="20"/>
                <w:lang w:eastAsia="pt-BR"/>
              </w:rPr>
            </w:pPr>
            <w:r w:rsidRPr="00B17273">
              <w:rPr>
                <w:rFonts w:eastAsia="Times New Roman"/>
                <w:color w:val="000000"/>
                <w:sz w:val="20"/>
                <w:szCs w:val="20"/>
                <w:lang w:eastAsia="pt-BR"/>
              </w:rPr>
              <w:t>Convite</w:t>
            </w:r>
          </w:p>
        </w:tc>
        <w:tc>
          <w:tcPr>
            <w:tcW w:w="440" w:type="dxa"/>
            <w:tcBorders>
              <w:top w:val="nil"/>
              <w:left w:val="nil"/>
              <w:bottom w:val="single" w:sz="4" w:space="0" w:color="auto"/>
              <w:right w:val="single" w:sz="4" w:space="0" w:color="auto"/>
            </w:tcBorders>
            <w:shd w:val="clear" w:color="auto" w:fill="auto"/>
            <w:noWrap/>
            <w:vAlign w:val="bottom"/>
            <w:hideMark/>
          </w:tcPr>
          <w:p w14:paraId="62262B3B"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18</w:t>
            </w:r>
          </w:p>
        </w:tc>
        <w:tc>
          <w:tcPr>
            <w:tcW w:w="1361" w:type="dxa"/>
            <w:tcBorders>
              <w:top w:val="nil"/>
              <w:left w:val="nil"/>
              <w:bottom w:val="single" w:sz="4" w:space="0" w:color="auto"/>
              <w:right w:val="single" w:sz="4" w:space="0" w:color="auto"/>
            </w:tcBorders>
            <w:shd w:val="clear" w:color="auto" w:fill="auto"/>
            <w:noWrap/>
            <w:vAlign w:val="bottom"/>
            <w:hideMark/>
          </w:tcPr>
          <w:p w14:paraId="6D555D02"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719.617,39</w:t>
            </w:r>
          </w:p>
        </w:tc>
        <w:tc>
          <w:tcPr>
            <w:tcW w:w="409" w:type="dxa"/>
            <w:tcBorders>
              <w:top w:val="nil"/>
              <w:left w:val="nil"/>
              <w:bottom w:val="single" w:sz="4" w:space="0" w:color="auto"/>
              <w:right w:val="single" w:sz="4" w:space="0" w:color="auto"/>
            </w:tcBorders>
            <w:shd w:val="clear" w:color="auto" w:fill="auto"/>
            <w:noWrap/>
            <w:vAlign w:val="bottom"/>
            <w:hideMark/>
          </w:tcPr>
          <w:p w14:paraId="7EDE091D"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5</w:t>
            </w:r>
          </w:p>
        </w:tc>
        <w:tc>
          <w:tcPr>
            <w:tcW w:w="1369" w:type="dxa"/>
            <w:tcBorders>
              <w:top w:val="nil"/>
              <w:left w:val="nil"/>
              <w:bottom w:val="single" w:sz="4" w:space="0" w:color="auto"/>
              <w:right w:val="single" w:sz="4" w:space="0" w:color="auto"/>
            </w:tcBorders>
            <w:shd w:val="clear" w:color="auto" w:fill="auto"/>
            <w:noWrap/>
            <w:vAlign w:val="bottom"/>
            <w:hideMark/>
          </w:tcPr>
          <w:p w14:paraId="27109340"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161.792,56</w:t>
            </w:r>
          </w:p>
        </w:tc>
        <w:tc>
          <w:tcPr>
            <w:tcW w:w="595" w:type="dxa"/>
            <w:tcBorders>
              <w:top w:val="nil"/>
              <w:left w:val="nil"/>
              <w:bottom w:val="single" w:sz="4" w:space="0" w:color="auto"/>
              <w:right w:val="single" w:sz="4" w:space="0" w:color="auto"/>
            </w:tcBorders>
            <w:shd w:val="clear" w:color="auto" w:fill="auto"/>
            <w:noWrap/>
            <w:vAlign w:val="bottom"/>
            <w:hideMark/>
          </w:tcPr>
          <w:p w14:paraId="41EDBF83"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3</w:t>
            </w:r>
          </w:p>
        </w:tc>
        <w:tc>
          <w:tcPr>
            <w:tcW w:w="1348" w:type="dxa"/>
            <w:tcBorders>
              <w:top w:val="nil"/>
              <w:left w:val="nil"/>
              <w:bottom w:val="single" w:sz="4" w:space="0" w:color="auto"/>
              <w:right w:val="single" w:sz="4" w:space="0" w:color="auto"/>
            </w:tcBorders>
            <w:shd w:val="clear" w:color="auto" w:fill="auto"/>
            <w:noWrap/>
            <w:vAlign w:val="bottom"/>
            <w:hideMark/>
          </w:tcPr>
          <w:p w14:paraId="58D8E672"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176.080,81</w:t>
            </w:r>
          </w:p>
        </w:tc>
        <w:tc>
          <w:tcPr>
            <w:tcW w:w="368" w:type="dxa"/>
            <w:tcBorders>
              <w:top w:val="nil"/>
              <w:left w:val="nil"/>
              <w:bottom w:val="single" w:sz="4" w:space="0" w:color="auto"/>
              <w:right w:val="single" w:sz="4" w:space="0" w:color="auto"/>
            </w:tcBorders>
            <w:shd w:val="clear" w:color="auto" w:fill="auto"/>
            <w:noWrap/>
            <w:vAlign w:val="bottom"/>
            <w:hideMark/>
          </w:tcPr>
          <w:p w14:paraId="140D85CC"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5</w:t>
            </w:r>
          </w:p>
        </w:tc>
        <w:tc>
          <w:tcPr>
            <w:tcW w:w="1207" w:type="dxa"/>
            <w:tcBorders>
              <w:top w:val="nil"/>
              <w:left w:val="nil"/>
              <w:bottom w:val="single" w:sz="4" w:space="0" w:color="auto"/>
              <w:right w:val="nil"/>
            </w:tcBorders>
            <w:shd w:val="clear" w:color="auto" w:fill="auto"/>
            <w:noWrap/>
            <w:vAlign w:val="bottom"/>
            <w:hideMark/>
          </w:tcPr>
          <w:p w14:paraId="65D2A98A"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361.149,13</w:t>
            </w:r>
          </w:p>
        </w:tc>
      </w:tr>
      <w:tr w:rsidR="00775A65" w:rsidRPr="00B17273" w14:paraId="6DF2F64C" w14:textId="77777777" w:rsidTr="00775A65">
        <w:trPr>
          <w:trHeight w:val="312"/>
        </w:trPr>
        <w:tc>
          <w:tcPr>
            <w:tcW w:w="1124" w:type="dxa"/>
            <w:tcBorders>
              <w:top w:val="nil"/>
              <w:left w:val="nil"/>
              <w:bottom w:val="single" w:sz="4" w:space="0" w:color="auto"/>
              <w:right w:val="single" w:sz="4" w:space="0" w:color="auto"/>
            </w:tcBorders>
            <w:shd w:val="clear" w:color="000000" w:fill="FFFFFF"/>
            <w:noWrap/>
            <w:vAlign w:val="bottom"/>
            <w:hideMark/>
          </w:tcPr>
          <w:p w14:paraId="04DA2CFD" w14:textId="031F1904" w:rsidR="00B17273" w:rsidRPr="00B17273" w:rsidRDefault="00B76BE2" w:rsidP="004E0FB2">
            <w:pPr>
              <w:ind w:left="-69"/>
              <w:rPr>
                <w:rFonts w:eastAsia="Times New Roman"/>
                <w:color w:val="000000"/>
                <w:sz w:val="20"/>
                <w:szCs w:val="20"/>
                <w:lang w:eastAsia="pt-BR"/>
              </w:rPr>
            </w:pPr>
            <w:r>
              <w:rPr>
                <w:rFonts w:eastAsia="Times New Roman"/>
                <w:color w:val="000000"/>
                <w:sz w:val="20"/>
                <w:szCs w:val="20"/>
                <w:lang w:eastAsia="pt-BR"/>
              </w:rPr>
              <w:t>Concorrên.</w:t>
            </w:r>
          </w:p>
        </w:tc>
        <w:tc>
          <w:tcPr>
            <w:tcW w:w="440" w:type="dxa"/>
            <w:tcBorders>
              <w:top w:val="nil"/>
              <w:left w:val="nil"/>
              <w:bottom w:val="single" w:sz="4" w:space="0" w:color="auto"/>
              <w:right w:val="single" w:sz="4" w:space="0" w:color="auto"/>
            </w:tcBorders>
            <w:shd w:val="clear" w:color="auto" w:fill="auto"/>
            <w:noWrap/>
            <w:vAlign w:val="bottom"/>
            <w:hideMark/>
          </w:tcPr>
          <w:p w14:paraId="40FC9FD4"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1</w:t>
            </w:r>
          </w:p>
        </w:tc>
        <w:tc>
          <w:tcPr>
            <w:tcW w:w="1361" w:type="dxa"/>
            <w:tcBorders>
              <w:top w:val="nil"/>
              <w:left w:val="nil"/>
              <w:bottom w:val="single" w:sz="4" w:space="0" w:color="auto"/>
              <w:right w:val="single" w:sz="4" w:space="0" w:color="auto"/>
            </w:tcBorders>
            <w:shd w:val="clear" w:color="auto" w:fill="auto"/>
            <w:noWrap/>
            <w:vAlign w:val="bottom"/>
            <w:hideMark/>
          </w:tcPr>
          <w:p w14:paraId="368C7184"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13.200,00</w:t>
            </w:r>
          </w:p>
        </w:tc>
        <w:tc>
          <w:tcPr>
            <w:tcW w:w="409" w:type="dxa"/>
            <w:tcBorders>
              <w:top w:val="nil"/>
              <w:left w:val="nil"/>
              <w:bottom w:val="single" w:sz="4" w:space="0" w:color="auto"/>
              <w:right w:val="single" w:sz="4" w:space="0" w:color="auto"/>
            </w:tcBorders>
            <w:shd w:val="clear" w:color="auto" w:fill="auto"/>
            <w:noWrap/>
            <w:vAlign w:val="bottom"/>
            <w:hideMark/>
          </w:tcPr>
          <w:p w14:paraId="44EBA534"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0</w:t>
            </w:r>
          </w:p>
        </w:tc>
        <w:tc>
          <w:tcPr>
            <w:tcW w:w="1369" w:type="dxa"/>
            <w:tcBorders>
              <w:top w:val="nil"/>
              <w:left w:val="nil"/>
              <w:bottom w:val="single" w:sz="4" w:space="0" w:color="auto"/>
              <w:right w:val="single" w:sz="4" w:space="0" w:color="auto"/>
            </w:tcBorders>
            <w:shd w:val="clear" w:color="auto" w:fill="auto"/>
            <w:noWrap/>
            <w:vAlign w:val="bottom"/>
            <w:hideMark/>
          </w:tcPr>
          <w:p w14:paraId="1F2D83F9"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0,00</w:t>
            </w:r>
          </w:p>
        </w:tc>
        <w:tc>
          <w:tcPr>
            <w:tcW w:w="595" w:type="dxa"/>
            <w:tcBorders>
              <w:top w:val="nil"/>
              <w:left w:val="nil"/>
              <w:bottom w:val="single" w:sz="4" w:space="0" w:color="auto"/>
              <w:right w:val="single" w:sz="4" w:space="0" w:color="auto"/>
            </w:tcBorders>
            <w:shd w:val="clear" w:color="auto" w:fill="auto"/>
            <w:noWrap/>
            <w:vAlign w:val="bottom"/>
            <w:hideMark/>
          </w:tcPr>
          <w:p w14:paraId="302CB742"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0</w:t>
            </w:r>
          </w:p>
        </w:tc>
        <w:tc>
          <w:tcPr>
            <w:tcW w:w="1348" w:type="dxa"/>
            <w:tcBorders>
              <w:top w:val="nil"/>
              <w:left w:val="nil"/>
              <w:bottom w:val="single" w:sz="4" w:space="0" w:color="auto"/>
              <w:right w:val="single" w:sz="4" w:space="0" w:color="auto"/>
            </w:tcBorders>
            <w:shd w:val="clear" w:color="auto" w:fill="auto"/>
            <w:noWrap/>
            <w:vAlign w:val="bottom"/>
            <w:hideMark/>
          </w:tcPr>
          <w:p w14:paraId="3E7F239C"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0,00</w:t>
            </w:r>
          </w:p>
        </w:tc>
        <w:tc>
          <w:tcPr>
            <w:tcW w:w="368" w:type="dxa"/>
            <w:tcBorders>
              <w:top w:val="nil"/>
              <w:left w:val="nil"/>
              <w:bottom w:val="single" w:sz="4" w:space="0" w:color="auto"/>
              <w:right w:val="single" w:sz="4" w:space="0" w:color="auto"/>
            </w:tcBorders>
            <w:shd w:val="clear" w:color="auto" w:fill="auto"/>
            <w:noWrap/>
            <w:vAlign w:val="bottom"/>
            <w:hideMark/>
          </w:tcPr>
          <w:p w14:paraId="2E860033"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5</w:t>
            </w:r>
          </w:p>
        </w:tc>
        <w:tc>
          <w:tcPr>
            <w:tcW w:w="1207" w:type="dxa"/>
            <w:tcBorders>
              <w:top w:val="nil"/>
              <w:left w:val="nil"/>
              <w:bottom w:val="single" w:sz="4" w:space="0" w:color="auto"/>
              <w:right w:val="nil"/>
            </w:tcBorders>
            <w:shd w:val="clear" w:color="auto" w:fill="auto"/>
            <w:noWrap/>
            <w:vAlign w:val="bottom"/>
            <w:hideMark/>
          </w:tcPr>
          <w:p w14:paraId="65C266E9"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1.397.658,69</w:t>
            </w:r>
          </w:p>
        </w:tc>
      </w:tr>
      <w:tr w:rsidR="00775A65" w:rsidRPr="00B17273" w14:paraId="428784A2" w14:textId="77777777" w:rsidTr="00775A65">
        <w:trPr>
          <w:trHeight w:val="312"/>
        </w:trPr>
        <w:tc>
          <w:tcPr>
            <w:tcW w:w="1124" w:type="dxa"/>
            <w:tcBorders>
              <w:top w:val="nil"/>
              <w:left w:val="nil"/>
              <w:bottom w:val="single" w:sz="4" w:space="0" w:color="auto"/>
              <w:right w:val="single" w:sz="4" w:space="0" w:color="auto"/>
            </w:tcBorders>
            <w:shd w:val="clear" w:color="000000" w:fill="FFFFFF"/>
            <w:noWrap/>
            <w:vAlign w:val="bottom"/>
            <w:hideMark/>
          </w:tcPr>
          <w:p w14:paraId="1CDFB2E7" w14:textId="77777777" w:rsidR="00B17273" w:rsidRPr="00B17273" w:rsidRDefault="00B17273" w:rsidP="004E0FB2">
            <w:pPr>
              <w:ind w:left="-69"/>
              <w:rPr>
                <w:rFonts w:eastAsia="Times New Roman"/>
                <w:color w:val="000000"/>
                <w:sz w:val="20"/>
                <w:szCs w:val="20"/>
                <w:lang w:eastAsia="pt-BR"/>
              </w:rPr>
            </w:pPr>
            <w:r w:rsidRPr="00B17273">
              <w:rPr>
                <w:rFonts w:eastAsia="Times New Roman"/>
                <w:color w:val="000000"/>
                <w:sz w:val="20"/>
                <w:szCs w:val="20"/>
                <w:lang w:eastAsia="pt-BR"/>
              </w:rPr>
              <w:t>Dispensa</w:t>
            </w:r>
          </w:p>
        </w:tc>
        <w:tc>
          <w:tcPr>
            <w:tcW w:w="440" w:type="dxa"/>
            <w:tcBorders>
              <w:top w:val="nil"/>
              <w:left w:val="nil"/>
              <w:bottom w:val="single" w:sz="4" w:space="0" w:color="auto"/>
              <w:right w:val="single" w:sz="4" w:space="0" w:color="auto"/>
            </w:tcBorders>
            <w:shd w:val="clear" w:color="auto" w:fill="auto"/>
            <w:noWrap/>
            <w:vAlign w:val="bottom"/>
            <w:hideMark/>
          </w:tcPr>
          <w:p w14:paraId="4CDF13F8"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10</w:t>
            </w:r>
          </w:p>
        </w:tc>
        <w:tc>
          <w:tcPr>
            <w:tcW w:w="1361" w:type="dxa"/>
            <w:tcBorders>
              <w:top w:val="nil"/>
              <w:left w:val="nil"/>
              <w:bottom w:val="single" w:sz="4" w:space="0" w:color="auto"/>
              <w:right w:val="single" w:sz="4" w:space="0" w:color="auto"/>
            </w:tcBorders>
            <w:shd w:val="clear" w:color="auto" w:fill="auto"/>
            <w:noWrap/>
            <w:vAlign w:val="bottom"/>
            <w:hideMark/>
          </w:tcPr>
          <w:p w14:paraId="250DF8F2"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430.014,65</w:t>
            </w:r>
          </w:p>
        </w:tc>
        <w:tc>
          <w:tcPr>
            <w:tcW w:w="409" w:type="dxa"/>
            <w:tcBorders>
              <w:top w:val="nil"/>
              <w:left w:val="nil"/>
              <w:bottom w:val="single" w:sz="4" w:space="0" w:color="auto"/>
              <w:right w:val="single" w:sz="4" w:space="0" w:color="auto"/>
            </w:tcBorders>
            <w:shd w:val="clear" w:color="auto" w:fill="auto"/>
            <w:noWrap/>
            <w:vAlign w:val="bottom"/>
            <w:hideMark/>
          </w:tcPr>
          <w:p w14:paraId="24142C50"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12</w:t>
            </w:r>
          </w:p>
        </w:tc>
        <w:tc>
          <w:tcPr>
            <w:tcW w:w="1369" w:type="dxa"/>
            <w:tcBorders>
              <w:top w:val="nil"/>
              <w:left w:val="nil"/>
              <w:bottom w:val="single" w:sz="4" w:space="0" w:color="auto"/>
              <w:right w:val="single" w:sz="4" w:space="0" w:color="auto"/>
            </w:tcBorders>
            <w:shd w:val="clear" w:color="auto" w:fill="auto"/>
            <w:noWrap/>
            <w:vAlign w:val="bottom"/>
            <w:hideMark/>
          </w:tcPr>
          <w:p w14:paraId="34F4CF15"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1.144.101,95</w:t>
            </w:r>
          </w:p>
        </w:tc>
        <w:tc>
          <w:tcPr>
            <w:tcW w:w="595" w:type="dxa"/>
            <w:tcBorders>
              <w:top w:val="nil"/>
              <w:left w:val="nil"/>
              <w:bottom w:val="single" w:sz="4" w:space="0" w:color="auto"/>
              <w:right w:val="single" w:sz="4" w:space="0" w:color="auto"/>
            </w:tcBorders>
            <w:shd w:val="clear" w:color="auto" w:fill="auto"/>
            <w:noWrap/>
            <w:vAlign w:val="bottom"/>
            <w:hideMark/>
          </w:tcPr>
          <w:p w14:paraId="2EB92030"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20</w:t>
            </w:r>
          </w:p>
        </w:tc>
        <w:tc>
          <w:tcPr>
            <w:tcW w:w="1348" w:type="dxa"/>
            <w:tcBorders>
              <w:top w:val="nil"/>
              <w:left w:val="nil"/>
              <w:bottom w:val="single" w:sz="4" w:space="0" w:color="auto"/>
              <w:right w:val="single" w:sz="4" w:space="0" w:color="auto"/>
            </w:tcBorders>
            <w:shd w:val="clear" w:color="auto" w:fill="auto"/>
            <w:noWrap/>
            <w:vAlign w:val="bottom"/>
            <w:hideMark/>
          </w:tcPr>
          <w:p w14:paraId="0F1496D3"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929.285,62</w:t>
            </w:r>
          </w:p>
        </w:tc>
        <w:tc>
          <w:tcPr>
            <w:tcW w:w="368" w:type="dxa"/>
            <w:tcBorders>
              <w:top w:val="nil"/>
              <w:left w:val="nil"/>
              <w:bottom w:val="single" w:sz="4" w:space="0" w:color="auto"/>
              <w:right w:val="single" w:sz="4" w:space="0" w:color="auto"/>
            </w:tcBorders>
            <w:shd w:val="clear" w:color="auto" w:fill="auto"/>
            <w:noWrap/>
            <w:vAlign w:val="bottom"/>
            <w:hideMark/>
          </w:tcPr>
          <w:p w14:paraId="23EAD7C6"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1</w:t>
            </w:r>
          </w:p>
        </w:tc>
        <w:tc>
          <w:tcPr>
            <w:tcW w:w="1207" w:type="dxa"/>
            <w:tcBorders>
              <w:top w:val="nil"/>
              <w:left w:val="nil"/>
              <w:bottom w:val="single" w:sz="4" w:space="0" w:color="auto"/>
              <w:right w:val="nil"/>
            </w:tcBorders>
            <w:shd w:val="clear" w:color="auto" w:fill="auto"/>
            <w:noWrap/>
            <w:vAlign w:val="bottom"/>
            <w:hideMark/>
          </w:tcPr>
          <w:p w14:paraId="03648679"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170.000,00</w:t>
            </w:r>
          </w:p>
        </w:tc>
      </w:tr>
      <w:tr w:rsidR="00775A65" w:rsidRPr="00B17273" w14:paraId="2B59CF34" w14:textId="77777777" w:rsidTr="00775A65">
        <w:trPr>
          <w:trHeight w:val="312"/>
        </w:trPr>
        <w:tc>
          <w:tcPr>
            <w:tcW w:w="1124" w:type="dxa"/>
            <w:tcBorders>
              <w:top w:val="nil"/>
              <w:left w:val="nil"/>
              <w:bottom w:val="single" w:sz="4" w:space="0" w:color="auto"/>
              <w:right w:val="single" w:sz="4" w:space="0" w:color="auto"/>
            </w:tcBorders>
            <w:shd w:val="clear" w:color="000000" w:fill="FFFFFF"/>
            <w:noWrap/>
            <w:vAlign w:val="bottom"/>
            <w:hideMark/>
          </w:tcPr>
          <w:p w14:paraId="63F808ED" w14:textId="6F83D8E7" w:rsidR="00B17273" w:rsidRPr="00B17273" w:rsidRDefault="00B76BE2" w:rsidP="004E0FB2">
            <w:pPr>
              <w:ind w:left="-69"/>
              <w:rPr>
                <w:rFonts w:eastAsia="Times New Roman"/>
                <w:color w:val="000000"/>
                <w:sz w:val="20"/>
                <w:szCs w:val="20"/>
                <w:lang w:eastAsia="pt-BR"/>
              </w:rPr>
            </w:pPr>
            <w:r>
              <w:rPr>
                <w:rFonts w:eastAsia="Times New Roman"/>
                <w:color w:val="000000"/>
                <w:sz w:val="20"/>
                <w:szCs w:val="20"/>
                <w:lang w:eastAsia="pt-BR"/>
              </w:rPr>
              <w:t>Inexigibilid.</w:t>
            </w:r>
          </w:p>
        </w:tc>
        <w:tc>
          <w:tcPr>
            <w:tcW w:w="440" w:type="dxa"/>
            <w:tcBorders>
              <w:top w:val="nil"/>
              <w:left w:val="nil"/>
              <w:bottom w:val="single" w:sz="4" w:space="0" w:color="auto"/>
              <w:right w:val="single" w:sz="4" w:space="0" w:color="auto"/>
            </w:tcBorders>
            <w:shd w:val="clear" w:color="auto" w:fill="auto"/>
            <w:noWrap/>
            <w:vAlign w:val="bottom"/>
            <w:hideMark/>
          </w:tcPr>
          <w:p w14:paraId="3D7B5047"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4</w:t>
            </w:r>
          </w:p>
        </w:tc>
        <w:tc>
          <w:tcPr>
            <w:tcW w:w="1361" w:type="dxa"/>
            <w:tcBorders>
              <w:top w:val="nil"/>
              <w:left w:val="nil"/>
              <w:bottom w:val="single" w:sz="4" w:space="0" w:color="auto"/>
              <w:right w:val="single" w:sz="4" w:space="0" w:color="auto"/>
            </w:tcBorders>
            <w:shd w:val="clear" w:color="auto" w:fill="auto"/>
            <w:noWrap/>
            <w:vAlign w:val="bottom"/>
            <w:hideMark/>
          </w:tcPr>
          <w:p w14:paraId="3EC38803"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117.800,00</w:t>
            </w:r>
          </w:p>
        </w:tc>
        <w:tc>
          <w:tcPr>
            <w:tcW w:w="409" w:type="dxa"/>
            <w:tcBorders>
              <w:top w:val="nil"/>
              <w:left w:val="nil"/>
              <w:bottom w:val="single" w:sz="4" w:space="0" w:color="auto"/>
              <w:right w:val="single" w:sz="4" w:space="0" w:color="auto"/>
            </w:tcBorders>
            <w:shd w:val="clear" w:color="auto" w:fill="auto"/>
            <w:noWrap/>
            <w:vAlign w:val="bottom"/>
            <w:hideMark/>
          </w:tcPr>
          <w:p w14:paraId="6E45BB38"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1</w:t>
            </w:r>
          </w:p>
        </w:tc>
        <w:tc>
          <w:tcPr>
            <w:tcW w:w="1369" w:type="dxa"/>
            <w:tcBorders>
              <w:top w:val="nil"/>
              <w:left w:val="nil"/>
              <w:bottom w:val="single" w:sz="4" w:space="0" w:color="auto"/>
              <w:right w:val="single" w:sz="4" w:space="0" w:color="auto"/>
            </w:tcBorders>
            <w:shd w:val="clear" w:color="auto" w:fill="auto"/>
            <w:noWrap/>
            <w:vAlign w:val="bottom"/>
            <w:hideMark/>
          </w:tcPr>
          <w:p w14:paraId="042C5546"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85.680,00</w:t>
            </w:r>
          </w:p>
        </w:tc>
        <w:tc>
          <w:tcPr>
            <w:tcW w:w="595" w:type="dxa"/>
            <w:tcBorders>
              <w:top w:val="nil"/>
              <w:left w:val="nil"/>
              <w:bottom w:val="single" w:sz="4" w:space="0" w:color="auto"/>
              <w:right w:val="single" w:sz="4" w:space="0" w:color="auto"/>
            </w:tcBorders>
            <w:shd w:val="clear" w:color="auto" w:fill="auto"/>
            <w:noWrap/>
            <w:vAlign w:val="bottom"/>
            <w:hideMark/>
          </w:tcPr>
          <w:p w14:paraId="33D010B5"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4</w:t>
            </w:r>
          </w:p>
        </w:tc>
        <w:tc>
          <w:tcPr>
            <w:tcW w:w="1348" w:type="dxa"/>
            <w:tcBorders>
              <w:top w:val="nil"/>
              <w:left w:val="nil"/>
              <w:bottom w:val="single" w:sz="4" w:space="0" w:color="auto"/>
              <w:right w:val="single" w:sz="4" w:space="0" w:color="auto"/>
            </w:tcBorders>
            <w:shd w:val="clear" w:color="auto" w:fill="auto"/>
            <w:noWrap/>
            <w:vAlign w:val="bottom"/>
            <w:hideMark/>
          </w:tcPr>
          <w:p w14:paraId="501DC506"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39.400,00</w:t>
            </w:r>
          </w:p>
        </w:tc>
        <w:tc>
          <w:tcPr>
            <w:tcW w:w="368" w:type="dxa"/>
            <w:tcBorders>
              <w:top w:val="nil"/>
              <w:left w:val="nil"/>
              <w:bottom w:val="single" w:sz="4" w:space="0" w:color="auto"/>
              <w:right w:val="single" w:sz="4" w:space="0" w:color="auto"/>
            </w:tcBorders>
            <w:shd w:val="clear" w:color="auto" w:fill="auto"/>
            <w:noWrap/>
            <w:vAlign w:val="bottom"/>
            <w:hideMark/>
          </w:tcPr>
          <w:p w14:paraId="211C45C8"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2</w:t>
            </w:r>
          </w:p>
        </w:tc>
        <w:tc>
          <w:tcPr>
            <w:tcW w:w="1207" w:type="dxa"/>
            <w:tcBorders>
              <w:top w:val="nil"/>
              <w:left w:val="nil"/>
              <w:bottom w:val="single" w:sz="4" w:space="0" w:color="auto"/>
              <w:right w:val="nil"/>
            </w:tcBorders>
            <w:shd w:val="clear" w:color="auto" w:fill="auto"/>
            <w:noWrap/>
            <w:vAlign w:val="bottom"/>
            <w:hideMark/>
          </w:tcPr>
          <w:p w14:paraId="54ADD1E3"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238.000,00</w:t>
            </w:r>
          </w:p>
        </w:tc>
      </w:tr>
      <w:tr w:rsidR="00775A65" w:rsidRPr="00B17273" w14:paraId="4F30E324" w14:textId="77777777" w:rsidTr="00775A65">
        <w:trPr>
          <w:trHeight w:val="312"/>
        </w:trPr>
        <w:tc>
          <w:tcPr>
            <w:tcW w:w="1124" w:type="dxa"/>
            <w:tcBorders>
              <w:top w:val="nil"/>
              <w:left w:val="nil"/>
              <w:bottom w:val="single" w:sz="4" w:space="0" w:color="auto"/>
              <w:right w:val="single" w:sz="4" w:space="0" w:color="auto"/>
            </w:tcBorders>
            <w:shd w:val="clear" w:color="000000" w:fill="FFFFFF"/>
            <w:noWrap/>
            <w:vAlign w:val="bottom"/>
            <w:hideMark/>
          </w:tcPr>
          <w:p w14:paraId="2F6EBA49" w14:textId="77777777" w:rsidR="00B17273" w:rsidRPr="00B17273" w:rsidRDefault="00B17273" w:rsidP="004E0FB2">
            <w:pPr>
              <w:ind w:left="-69"/>
              <w:rPr>
                <w:rFonts w:eastAsia="Times New Roman"/>
                <w:color w:val="000000"/>
                <w:sz w:val="20"/>
                <w:szCs w:val="20"/>
                <w:lang w:eastAsia="pt-BR"/>
              </w:rPr>
            </w:pPr>
            <w:r w:rsidRPr="00B17273">
              <w:rPr>
                <w:rFonts w:eastAsia="Times New Roman"/>
                <w:color w:val="000000"/>
                <w:sz w:val="20"/>
                <w:szCs w:val="20"/>
                <w:lang w:eastAsia="pt-BR"/>
              </w:rPr>
              <w:t>Leilão</w:t>
            </w:r>
          </w:p>
        </w:tc>
        <w:tc>
          <w:tcPr>
            <w:tcW w:w="440" w:type="dxa"/>
            <w:tcBorders>
              <w:top w:val="nil"/>
              <w:left w:val="nil"/>
              <w:bottom w:val="single" w:sz="4" w:space="0" w:color="auto"/>
              <w:right w:val="single" w:sz="4" w:space="0" w:color="auto"/>
            </w:tcBorders>
            <w:shd w:val="clear" w:color="auto" w:fill="auto"/>
            <w:noWrap/>
            <w:vAlign w:val="bottom"/>
            <w:hideMark/>
          </w:tcPr>
          <w:p w14:paraId="45ED456E"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0</w:t>
            </w:r>
          </w:p>
        </w:tc>
        <w:tc>
          <w:tcPr>
            <w:tcW w:w="1361" w:type="dxa"/>
            <w:tcBorders>
              <w:top w:val="nil"/>
              <w:left w:val="nil"/>
              <w:bottom w:val="single" w:sz="4" w:space="0" w:color="auto"/>
              <w:right w:val="single" w:sz="4" w:space="0" w:color="auto"/>
            </w:tcBorders>
            <w:shd w:val="clear" w:color="auto" w:fill="auto"/>
            <w:noWrap/>
            <w:vAlign w:val="bottom"/>
            <w:hideMark/>
          </w:tcPr>
          <w:p w14:paraId="3A8D6EAB"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0,00</w:t>
            </w:r>
          </w:p>
        </w:tc>
        <w:tc>
          <w:tcPr>
            <w:tcW w:w="409" w:type="dxa"/>
            <w:tcBorders>
              <w:top w:val="nil"/>
              <w:left w:val="nil"/>
              <w:bottom w:val="single" w:sz="4" w:space="0" w:color="auto"/>
              <w:right w:val="single" w:sz="4" w:space="0" w:color="auto"/>
            </w:tcBorders>
            <w:shd w:val="clear" w:color="auto" w:fill="auto"/>
            <w:noWrap/>
            <w:vAlign w:val="bottom"/>
            <w:hideMark/>
          </w:tcPr>
          <w:p w14:paraId="5EDB6A90"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0</w:t>
            </w:r>
          </w:p>
        </w:tc>
        <w:tc>
          <w:tcPr>
            <w:tcW w:w="1369" w:type="dxa"/>
            <w:tcBorders>
              <w:top w:val="nil"/>
              <w:left w:val="nil"/>
              <w:bottom w:val="single" w:sz="4" w:space="0" w:color="auto"/>
              <w:right w:val="single" w:sz="4" w:space="0" w:color="auto"/>
            </w:tcBorders>
            <w:shd w:val="clear" w:color="auto" w:fill="auto"/>
            <w:noWrap/>
            <w:vAlign w:val="bottom"/>
            <w:hideMark/>
          </w:tcPr>
          <w:p w14:paraId="22940B5A"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0,00</w:t>
            </w:r>
          </w:p>
        </w:tc>
        <w:tc>
          <w:tcPr>
            <w:tcW w:w="595" w:type="dxa"/>
            <w:tcBorders>
              <w:top w:val="nil"/>
              <w:left w:val="nil"/>
              <w:bottom w:val="single" w:sz="4" w:space="0" w:color="auto"/>
              <w:right w:val="single" w:sz="4" w:space="0" w:color="auto"/>
            </w:tcBorders>
            <w:shd w:val="clear" w:color="auto" w:fill="auto"/>
            <w:noWrap/>
            <w:vAlign w:val="bottom"/>
            <w:hideMark/>
          </w:tcPr>
          <w:p w14:paraId="24844AE6"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0</w:t>
            </w:r>
          </w:p>
        </w:tc>
        <w:tc>
          <w:tcPr>
            <w:tcW w:w="1348" w:type="dxa"/>
            <w:tcBorders>
              <w:top w:val="nil"/>
              <w:left w:val="nil"/>
              <w:bottom w:val="single" w:sz="4" w:space="0" w:color="auto"/>
              <w:right w:val="single" w:sz="4" w:space="0" w:color="auto"/>
            </w:tcBorders>
            <w:shd w:val="clear" w:color="auto" w:fill="auto"/>
            <w:noWrap/>
            <w:vAlign w:val="bottom"/>
            <w:hideMark/>
          </w:tcPr>
          <w:p w14:paraId="023A0CCF"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0,00</w:t>
            </w:r>
          </w:p>
        </w:tc>
        <w:tc>
          <w:tcPr>
            <w:tcW w:w="368" w:type="dxa"/>
            <w:tcBorders>
              <w:top w:val="nil"/>
              <w:left w:val="nil"/>
              <w:bottom w:val="single" w:sz="4" w:space="0" w:color="auto"/>
              <w:right w:val="single" w:sz="4" w:space="0" w:color="auto"/>
            </w:tcBorders>
            <w:shd w:val="clear" w:color="auto" w:fill="auto"/>
            <w:noWrap/>
            <w:vAlign w:val="bottom"/>
            <w:hideMark/>
          </w:tcPr>
          <w:p w14:paraId="080A1DF8"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1</w:t>
            </w:r>
          </w:p>
        </w:tc>
        <w:tc>
          <w:tcPr>
            <w:tcW w:w="1207" w:type="dxa"/>
            <w:tcBorders>
              <w:top w:val="nil"/>
              <w:left w:val="nil"/>
              <w:bottom w:val="single" w:sz="4" w:space="0" w:color="auto"/>
              <w:right w:val="nil"/>
            </w:tcBorders>
            <w:shd w:val="clear" w:color="auto" w:fill="auto"/>
            <w:noWrap/>
            <w:vAlign w:val="bottom"/>
            <w:hideMark/>
          </w:tcPr>
          <w:p w14:paraId="072C727D"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294.050,00</w:t>
            </w:r>
          </w:p>
        </w:tc>
      </w:tr>
      <w:tr w:rsidR="00775A65" w:rsidRPr="00B17273" w14:paraId="60730BAC" w14:textId="77777777" w:rsidTr="00775A65">
        <w:trPr>
          <w:trHeight w:val="312"/>
        </w:trPr>
        <w:tc>
          <w:tcPr>
            <w:tcW w:w="1124" w:type="dxa"/>
            <w:tcBorders>
              <w:top w:val="nil"/>
              <w:left w:val="nil"/>
              <w:bottom w:val="single" w:sz="4" w:space="0" w:color="auto"/>
              <w:right w:val="single" w:sz="4" w:space="0" w:color="auto"/>
            </w:tcBorders>
            <w:shd w:val="clear" w:color="000000" w:fill="FFFFFF"/>
            <w:noWrap/>
            <w:vAlign w:val="bottom"/>
            <w:hideMark/>
          </w:tcPr>
          <w:p w14:paraId="2186C070" w14:textId="77777777" w:rsidR="00B17273" w:rsidRPr="00B17273" w:rsidRDefault="00B17273" w:rsidP="004E0FB2">
            <w:pPr>
              <w:ind w:left="-69"/>
              <w:rPr>
                <w:rFonts w:eastAsia="Times New Roman"/>
                <w:color w:val="000000"/>
                <w:sz w:val="20"/>
                <w:szCs w:val="20"/>
                <w:lang w:eastAsia="pt-BR"/>
              </w:rPr>
            </w:pPr>
            <w:r w:rsidRPr="00B17273">
              <w:rPr>
                <w:rFonts w:eastAsia="Times New Roman"/>
                <w:color w:val="000000"/>
                <w:sz w:val="20"/>
                <w:szCs w:val="20"/>
                <w:lang w:eastAsia="pt-BR"/>
              </w:rPr>
              <w:t>Pregão Eletrônico</w:t>
            </w:r>
          </w:p>
        </w:tc>
        <w:tc>
          <w:tcPr>
            <w:tcW w:w="440" w:type="dxa"/>
            <w:tcBorders>
              <w:top w:val="nil"/>
              <w:left w:val="nil"/>
              <w:bottom w:val="single" w:sz="4" w:space="0" w:color="auto"/>
              <w:right w:val="single" w:sz="4" w:space="0" w:color="auto"/>
            </w:tcBorders>
            <w:shd w:val="clear" w:color="auto" w:fill="auto"/>
            <w:noWrap/>
            <w:vAlign w:val="bottom"/>
            <w:hideMark/>
          </w:tcPr>
          <w:p w14:paraId="49914BE6"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0</w:t>
            </w:r>
          </w:p>
        </w:tc>
        <w:tc>
          <w:tcPr>
            <w:tcW w:w="1361" w:type="dxa"/>
            <w:tcBorders>
              <w:top w:val="nil"/>
              <w:left w:val="nil"/>
              <w:bottom w:val="single" w:sz="4" w:space="0" w:color="auto"/>
              <w:right w:val="single" w:sz="4" w:space="0" w:color="auto"/>
            </w:tcBorders>
            <w:shd w:val="clear" w:color="auto" w:fill="auto"/>
            <w:noWrap/>
            <w:vAlign w:val="bottom"/>
            <w:hideMark/>
          </w:tcPr>
          <w:p w14:paraId="66198DC5"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0,00</w:t>
            </w:r>
          </w:p>
        </w:tc>
        <w:tc>
          <w:tcPr>
            <w:tcW w:w="409" w:type="dxa"/>
            <w:tcBorders>
              <w:top w:val="nil"/>
              <w:left w:val="nil"/>
              <w:bottom w:val="single" w:sz="4" w:space="0" w:color="auto"/>
              <w:right w:val="single" w:sz="4" w:space="0" w:color="auto"/>
            </w:tcBorders>
            <w:shd w:val="clear" w:color="auto" w:fill="auto"/>
            <w:noWrap/>
            <w:vAlign w:val="bottom"/>
            <w:hideMark/>
          </w:tcPr>
          <w:p w14:paraId="7D60A8E3"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1</w:t>
            </w:r>
          </w:p>
        </w:tc>
        <w:tc>
          <w:tcPr>
            <w:tcW w:w="1369" w:type="dxa"/>
            <w:tcBorders>
              <w:top w:val="nil"/>
              <w:left w:val="nil"/>
              <w:bottom w:val="single" w:sz="4" w:space="0" w:color="auto"/>
              <w:right w:val="single" w:sz="4" w:space="0" w:color="auto"/>
            </w:tcBorders>
            <w:shd w:val="clear" w:color="auto" w:fill="auto"/>
            <w:noWrap/>
            <w:vAlign w:val="bottom"/>
            <w:hideMark/>
          </w:tcPr>
          <w:p w14:paraId="003C0301"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569.900,00</w:t>
            </w:r>
          </w:p>
        </w:tc>
        <w:tc>
          <w:tcPr>
            <w:tcW w:w="595" w:type="dxa"/>
            <w:tcBorders>
              <w:top w:val="nil"/>
              <w:left w:val="nil"/>
              <w:bottom w:val="single" w:sz="4" w:space="0" w:color="auto"/>
              <w:right w:val="single" w:sz="4" w:space="0" w:color="auto"/>
            </w:tcBorders>
            <w:shd w:val="clear" w:color="auto" w:fill="auto"/>
            <w:noWrap/>
            <w:vAlign w:val="bottom"/>
            <w:hideMark/>
          </w:tcPr>
          <w:p w14:paraId="194BFEA1"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3</w:t>
            </w:r>
          </w:p>
        </w:tc>
        <w:tc>
          <w:tcPr>
            <w:tcW w:w="1348" w:type="dxa"/>
            <w:tcBorders>
              <w:top w:val="nil"/>
              <w:left w:val="nil"/>
              <w:bottom w:val="single" w:sz="4" w:space="0" w:color="auto"/>
              <w:right w:val="single" w:sz="4" w:space="0" w:color="auto"/>
            </w:tcBorders>
            <w:shd w:val="clear" w:color="auto" w:fill="auto"/>
            <w:noWrap/>
            <w:vAlign w:val="bottom"/>
            <w:hideMark/>
          </w:tcPr>
          <w:p w14:paraId="137421FC"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1.022.839,98</w:t>
            </w:r>
          </w:p>
        </w:tc>
        <w:tc>
          <w:tcPr>
            <w:tcW w:w="368" w:type="dxa"/>
            <w:tcBorders>
              <w:top w:val="nil"/>
              <w:left w:val="nil"/>
              <w:bottom w:val="single" w:sz="4" w:space="0" w:color="auto"/>
              <w:right w:val="single" w:sz="4" w:space="0" w:color="auto"/>
            </w:tcBorders>
            <w:shd w:val="clear" w:color="auto" w:fill="auto"/>
            <w:noWrap/>
            <w:vAlign w:val="bottom"/>
            <w:hideMark/>
          </w:tcPr>
          <w:p w14:paraId="69488AEE"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1</w:t>
            </w:r>
          </w:p>
        </w:tc>
        <w:tc>
          <w:tcPr>
            <w:tcW w:w="1207" w:type="dxa"/>
            <w:tcBorders>
              <w:top w:val="nil"/>
              <w:left w:val="nil"/>
              <w:bottom w:val="single" w:sz="4" w:space="0" w:color="auto"/>
              <w:right w:val="nil"/>
            </w:tcBorders>
            <w:shd w:val="clear" w:color="auto" w:fill="auto"/>
            <w:noWrap/>
            <w:vAlign w:val="bottom"/>
            <w:hideMark/>
          </w:tcPr>
          <w:p w14:paraId="1F06BC50"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360.750,00</w:t>
            </w:r>
          </w:p>
        </w:tc>
      </w:tr>
      <w:tr w:rsidR="00775A65" w:rsidRPr="00B17273" w14:paraId="17F818AE" w14:textId="77777777" w:rsidTr="00775A65">
        <w:trPr>
          <w:trHeight w:val="312"/>
        </w:trPr>
        <w:tc>
          <w:tcPr>
            <w:tcW w:w="1124" w:type="dxa"/>
            <w:tcBorders>
              <w:top w:val="nil"/>
              <w:left w:val="nil"/>
              <w:bottom w:val="single" w:sz="4" w:space="0" w:color="auto"/>
              <w:right w:val="single" w:sz="4" w:space="0" w:color="auto"/>
            </w:tcBorders>
            <w:shd w:val="clear" w:color="000000" w:fill="FFFFFF"/>
            <w:noWrap/>
            <w:vAlign w:val="bottom"/>
            <w:hideMark/>
          </w:tcPr>
          <w:p w14:paraId="3893B1AE" w14:textId="77777777" w:rsidR="00B17273" w:rsidRPr="00B17273" w:rsidRDefault="00B17273" w:rsidP="004E0FB2">
            <w:pPr>
              <w:ind w:left="-69"/>
              <w:rPr>
                <w:rFonts w:eastAsia="Times New Roman"/>
                <w:color w:val="000000"/>
                <w:sz w:val="20"/>
                <w:szCs w:val="20"/>
                <w:lang w:eastAsia="pt-BR"/>
              </w:rPr>
            </w:pPr>
            <w:r w:rsidRPr="00B17273">
              <w:rPr>
                <w:rFonts w:eastAsia="Times New Roman"/>
                <w:color w:val="000000"/>
                <w:sz w:val="20"/>
                <w:szCs w:val="20"/>
                <w:lang w:eastAsia="pt-BR"/>
              </w:rPr>
              <w:t>Pregão Presencial</w:t>
            </w:r>
          </w:p>
        </w:tc>
        <w:tc>
          <w:tcPr>
            <w:tcW w:w="440" w:type="dxa"/>
            <w:tcBorders>
              <w:top w:val="nil"/>
              <w:left w:val="nil"/>
              <w:bottom w:val="single" w:sz="4" w:space="0" w:color="auto"/>
              <w:right w:val="single" w:sz="4" w:space="0" w:color="auto"/>
            </w:tcBorders>
            <w:shd w:val="clear" w:color="auto" w:fill="auto"/>
            <w:noWrap/>
            <w:vAlign w:val="bottom"/>
            <w:hideMark/>
          </w:tcPr>
          <w:p w14:paraId="15144524"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73</w:t>
            </w:r>
          </w:p>
        </w:tc>
        <w:tc>
          <w:tcPr>
            <w:tcW w:w="1361" w:type="dxa"/>
            <w:tcBorders>
              <w:top w:val="nil"/>
              <w:left w:val="nil"/>
              <w:bottom w:val="single" w:sz="4" w:space="0" w:color="auto"/>
              <w:right w:val="single" w:sz="4" w:space="0" w:color="auto"/>
            </w:tcBorders>
            <w:shd w:val="clear" w:color="auto" w:fill="auto"/>
            <w:noWrap/>
            <w:vAlign w:val="bottom"/>
            <w:hideMark/>
          </w:tcPr>
          <w:p w14:paraId="45AD4341"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9.440.422,01</w:t>
            </w:r>
          </w:p>
        </w:tc>
        <w:tc>
          <w:tcPr>
            <w:tcW w:w="409" w:type="dxa"/>
            <w:tcBorders>
              <w:top w:val="nil"/>
              <w:left w:val="nil"/>
              <w:bottom w:val="single" w:sz="4" w:space="0" w:color="auto"/>
              <w:right w:val="single" w:sz="4" w:space="0" w:color="auto"/>
            </w:tcBorders>
            <w:shd w:val="clear" w:color="auto" w:fill="auto"/>
            <w:noWrap/>
            <w:vAlign w:val="bottom"/>
            <w:hideMark/>
          </w:tcPr>
          <w:p w14:paraId="22F9F1E7"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70</w:t>
            </w:r>
          </w:p>
        </w:tc>
        <w:tc>
          <w:tcPr>
            <w:tcW w:w="1369" w:type="dxa"/>
            <w:tcBorders>
              <w:top w:val="nil"/>
              <w:left w:val="nil"/>
              <w:bottom w:val="single" w:sz="4" w:space="0" w:color="auto"/>
              <w:right w:val="single" w:sz="4" w:space="0" w:color="auto"/>
            </w:tcBorders>
            <w:shd w:val="clear" w:color="auto" w:fill="auto"/>
            <w:noWrap/>
            <w:vAlign w:val="bottom"/>
            <w:hideMark/>
          </w:tcPr>
          <w:p w14:paraId="69C1E3DC"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11.134.036,22</w:t>
            </w:r>
          </w:p>
        </w:tc>
        <w:tc>
          <w:tcPr>
            <w:tcW w:w="595" w:type="dxa"/>
            <w:tcBorders>
              <w:top w:val="nil"/>
              <w:left w:val="nil"/>
              <w:bottom w:val="single" w:sz="4" w:space="0" w:color="auto"/>
              <w:right w:val="single" w:sz="4" w:space="0" w:color="auto"/>
            </w:tcBorders>
            <w:shd w:val="clear" w:color="auto" w:fill="auto"/>
            <w:noWrap/>
            <w:vAlign w:val="bottom"/>
            <w:hideMark/>
          </w:tcPr>
          <w:p w14:paraId="4E4F70EC"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83</w:t>
            </w:r>
          </w:p>
        </w:tc>
        <w:tc>
          <w:tcPr>
            <w:tcW w:w="1348" w:type="dxa"/>
            <w:tcBorders>
              <w:top w:val="nil"/>
              <w:left w:val="nil"/>
              <w:bottom w:val="single" w:sz="4" w:space="0" w:color="auto"/>
              <w:right w:val="single" w:sz="4" w:space="0" w:color="auto"/>
            </w:tcBorders>
            <w:shd w:val="clear" w:color="auto" w:fill="auto"/>
            <w:noWrap/>
            <w:vAlign w:val="bottom"/>
            <w:hideMark/>
          </w:tcPr>
          <w:p w14:paraId="58ABED31"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14.856.909,55</w:t>
            </w:r>
          </w:p>
        </w:tc>
        <w:tc>
          <w:tcPr>
            <w:tcW w:w="368" w:type="dxa"/>
            <w:tcBorders>
              <w:top w:val="nil"/>
              <w:left w:val="nil"/>
              <w:bottom w:val="single" w:sz="4" w:space="0" w:color="auto"/>
              <w:right w:val="single" w:sz="4" w:space="0" w:color="auto"/>
            </w:tcBorders>
            <w:shd w:val="clear" w:color="auto" w:fill="auto"/>
            <w:noWrap/>
            <w:vAlign w:val="bottom"/>
            <w:hideMark/>
          </w:tcPr>
          <w:p w14:paraId="56B75A60"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52</w:t>
            </w:r>
          </w:p>
        </w:tc>
        <w:tc>
          <w:tcPr>
            <w:tcW w:w="1207" w:type="dxa"/>
            <w:tcBorders>
              <w:top w:val="nil"/>
              <w:left w:val="nil"/>
              <w:bottom w:val="single" w:sz="4" w:space="0" w:color="auto"/>
              <w:right w:val="nil"/>
            </w:tcBorders>
            <w:shd w:val="clear" w:color="auto" w:fill="auto"/>
            <w:noWrap/>
            <w:vAlign w:val="bottom"/>
            <w:hideMark/>
          </w:tcPr>
          <w:p w14:paraId="5312EC17"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12.998.129,06</w:t>
            </w:r>
          </w:p>
        </w:tc>
      </w:tr>
      <w:tr w:rsidR="00775A65" w:rsidRPr="00B17273" w14:paraId="667C9837" w14:textId="77777777" w:rsidTr="00775A65">
        <w:trPr>
          <w:trHeight w:val="312"/>
        </w:trPr>
        <w:tc>
          <w:tcPr>
            <w:tcW w:w="1124" w:type="dxa"/>
            <w:tcBorders>
              <w:top w:val="nil"/>
              <w:left w:val="nil"/>
              <w:bottom w:val="single" w:sz="4" w:space="0" w:color="auto"/>
              <w:right w:val="single" w:sz="4" w:space="0" w:color="auto"/>
            </w:tcBorders>
            <w:shd w:val="clear" w:color="000000" w:fill="FFFFFF"/>
            <w:noWrap/>
            <w:vAlign w:val="bottom"/>
            <w:hideMark/>
          </w:tcPr>
          <w:p w14:paraId="23D79B63" w14:textId="2A19EE5A" w:rsidR="00B17273" w:rsidRPr="00B17273" w:rsidRDefault="00D708A4" w:rsidP="004E0FB2">
            <w:pPr>
              <w:ind w:left="-69"/>
              <w:rPr>
                <w:rFonts w:eastAsia="Times New Roman"/>
                <w:color w:val="000000"/>
                <w:sz w:val="20"/>
                <w:szCs w:val="20"/>
                <w:lang w:eastAsia="pt-BR"/>
              </w:rPr>
            </w:pPr>
            <w:r>
              <w:rPr>
                <w:rFonts w:eastAsia="Times New Roman"/>
                <w:color w:val="000000"/>
                <w:sz w:val="20"/>
                <w:szCs w:val="20"/>
                <w:lang w:eastAsia="pt-BR"/>
              </w:rPr>
              <w:t>Tomad.</w:t>
            </w:r>
            <w:r w:rsidR="00B17273" w:rsidRPr="00B17273">
              <w:rPr>
                <w:rFonts w:eastAsia="Times New Roman"/>
                <w:color w:val="000000"/>
                <w:sz w:val="20"/>
                <w:szCs w:val="20"/>
                <w:lang w:eastAsia="pt-BR"/>
              </w:rPr>
              <w:t xml:space="preserve"> de Preços</w:t>
            </w:r>
          </w:p>
        </w:tc>
        <w:tc>
          <w:tcPr>
            <w:tcW w:w="440" w:type="dxa"/>
            <w:tcBorders>
              <w:top w:val="nil"/>
              <w:left w:val="nil"/>
              <w:bottom w:val="single" w:sz="4" w:space="0" w:color="auto"/>
              <w:right w:val="single" w:sz="4" w:space="0" w:color="auto"/>
            </w:tcBorders>
            <w:shd w:val="clear" w:color="auto" w:fill="auto"/>
            <w:noWrap/>
            <w:vAlign w:val="bottom"/>
            <w:hideMark/>
          </w:tcPr>
          <w:p w14:paraId="2170E614"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6</w:t>
            </w:r>
          </w:p>
        </w:tc>
        <w:tc>
          <w:tcPr>
            <w:tcW w:w="1361" w:type="dxa"/>
            <w:tcBorders>
              <w:top w:val="nil"/>
              <w:left w:val="nil"/>
              <w:bottom w:val="single" w:sz="4" w:space="0" w:color="auto"/>
              <w:right w:val="single" w:sz="4" w:space="0" w:color="auto"/>
            </w:tcBorders>
            <w:shd w:val="clear" w:color="auto" w:fill="auto"/>
            <w:noWrap/>
            <w:vAlign w:val="bottom"/>
            <w:hideMark/>
          </w:tcPr>
          <w:p w14:paraId="03376130"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981.173,03</w:t>
            </w:r>
          </w:p>
        </w:tc>
        <w:tc>
          <w:tcPr>
            <w:tcW w:w="409" w:type="dxa"/>
            <w:tcBorders>
              <w:top w:val="nil"/>
              <w:left w:val="nil"/>
              <w:bottom w:val="single" w:sz="4" w:space="0" w:color="auto"/>
              <w:right w:val="single" w:sz="4" w:space="0" w:color="auto"/>
            </w:tcBorders>
            <w:shd w:val="clear" w:color="auto" w:fill="auto"/>
            <w:noWrap/>
            <w:vAlign w:val="bottom"/>
            <w:hideMark/>
          </w:tcPr>
          <w:p w14:paraId="7E9832B2"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5</w:t>
            </w:r>
          </w:p>
        </w:tc>
        <w:tc>
          <w:tcPr>
            <w:tcW w:w="1369" w:type="dxa"/>
            <w:tcBorders>
              <w:top w:val="nil"/>
              <w:left w:val="nil"/>
              <w:bottom w:val="single" w:sz="4" w:space="0" w:color="auto"/>
              <w:right w:val="single" w:sz="4" w:space="0" w:color="auto"/>
            </w:tcBorders>
            <w:shd w:val="clear" w:color="auto" w:fill="auto"/>
            <w:noWrap/>
            <w:vAlign w:val="bottom"/>
            <w:hideMark/>
          </w:tcPr>
          <w:p w14:paraId="2FDDC2B7"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1.357.233,17</w:t>
            </w:r>
          </w:p>
        </w:tc>
        <w:tc>
          <w:tcPr>
            <w:tcW w:w="595" w:type="dxa"/>
            <w:tcBorders>
              <w:top w:val="nil"/>
              <w:left w:val="nil"/>
              <w:bottom w:val="single" w:sz="4" w:space="0" w:color="auto"/>
              <w:right w:val="single" w:sz="4" w:space="0" w:color="auto"/>
            </w:tcBorders>
            <w:shd w:val="clear" w:color="auto" w:fill="auto"/>
            <w:noWrap/>
            <w:vAlign w:val="bottom"/>
            <w:hideMark/>
          </w:tcPr>
          <w:p w14:paraId="6983AE2F"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9</w:t>
            </w:r>
          </w:p>
        </w:tc>
        <w:tc>
          <w:tcPr>
            <w:tcW w:w="1348" w:type="dxa"/>
            <w:tcBorders>
              <w:top w:val="nil"/>
              <w:left w:val="nil"/>
              <w:bottom w:val="single" w:sz="4" w:space="0" w:color="auto"/>
              <w:right w:val="single" w:sz="4" w:space="0" w:color="auto"/>
            </w:tcBorders>
            <w:shd w:val="clear" w:color="auto" w:fill="auto"/>
            <w:noWrap/>
            <w:vAlign w:val="bottom"/>
            <w:hideMark/>
          </w:tcPr>
          <w:p w14:paraId="7BBE3AC1"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2.697.566,15</w:t>
            </w:r>
          </w:p>
        </w:tc>
        <w:tc>
          <w:tcPr>
            <w:tcW w:w="368" w:type="dxa"/>
            <w:tcBorders>
              <w:top w:val="nil"/>
              <w:left w:val="nil"/>
              <w:bottom w:val="single" w:sz="4" w:space="0" w:color="auto"/>
              <w:right w:val="single" w:sz="4" w:space="0" w:color="auto"/>
            </w:tcBorders>
            <w:shd w:val="clear" w:color="auto" w:fill="auto"/>
            <w:noWrap/>
            <w:vAlign w:val="bottom"/>
            <w:hideMark/>
          </w:tcPr>
          <w:p w14:paraId="4BE0FDB7" w14:textId="77777777" w:rsidR="00B17273" w:rsidRPr="00B17273" w:rsidRDefault="00B17273" w:rsidP="00B17273">
            <w:pPr>
              <w:jc w:val="center"/>
              <w:rPr>
                <w:rFonts w:eastAsia="Times New Roman"/>
                <w:color w:val="000000"/>
                <w:sz w:val="20"/>
                <w:szCs w:val="20"/>
                <w:lang w:eastAsia="pt-BR"/>
              </w:rPr>
            </w:pPr>
            <w:r w:rsidRPr="00B17273">
              <w:rPr>
                <w:rFonts w:eastAsia="Times New Roman"/>
                <w:color w:val="000000"/>
                <w:sz w:val="20"/>
                <w:szCs w:val="20"/>
                <w:lang w:eastAsia="pt-BR"/>
              </w:rPr>
              <w:t>10</w:t>
            </w:r>
          </w:p>
        </w:tc>
        <w:tc>
          <w:tcPr>
            <w:tcW w:w="1207" w:type="dxa"/>
            <w:tcBorders>
              <w:top w:val="nil"/>
              <w:left w:val="nil"/>
              <w:bottom w:val="single" w:sz="4" w:space="0" w:color="auto"/>
              <w:right w:val="nil"/>
            </w:tcBorders>
            <w:shd w:val="clear" w:color="auto" w:fill="auto"/>
            <w:noWrap/>
            <w:vAlign w:val="bottom"/>
            <w:hideMark/>
          </w:tcPr>
          <w:p w14:paraId="11723C36" w14:textId="77777777" w:rsidR="00B17273" w:rsidRPr="00B17273" w:rsidRDefault="00B17273" w:rsidP="00373486">
            <w:pPr>
              <w:jc w:val="center"/>
              <w:rPr>
                <w:rFonts w:eastAsia="Times New Roman"/>
                <w:color w:val="000000"/>
                <w:sz w:val="20"/>
                <w:szCs w:val="20"/>
                <w:lang w:eastAsia="pt-BR"/>
              </w:rPr>
            </w:pPr>
            <w:r w:rsidRPr="00B17273">
              <w:rPr>
                <w:rFonts w:eastAsia="Times New Roman"/>
                <w:color w:val="000000"/>
                <w:sz w:val="20"/>
                <w:szCs w:val="20"/>
                <w:lang w:eastAsia="pt-BR"/>
              </w:rPr>
              <w:t>3.300.041,77</w:t>
            </w:r>
          </w:p>
        </w:tc>
      </w:tr>
      <w:tr w:rsidR="00775A65" w:rsidRPr="00B17273" w14:paraId="5BC1C8AB" w14:textId="77777777" w:rsidTr="00775A65">
        <w:trPr>
          <w:trHeight w:val="312"/>
        </w:trPr>
        <w:tc>
          <w:tcPr>
            <w:tcW w:w="1124" w:type="dxa"/>
            <w:tcBorders>
              <w:top w:val="nil"/>
              <w:left w:val="nil"/>
              <w:bottom w:val="single" w:sz="4" w:space="0" w:color="auto"/>
              <w:right w:val="single" w:sz="4" w:space="0" w:color="auto"/>
            </w:tcBorders>
            <w:shd w:val="clear" w:color="000000" w:fill="FFFFFF"/>
            <w:noWrap/>
            <w:vAlign w:val="bottom"/>
            <w:hideMark/>
          </w:tcPr>
          <w:p w14:paraId="54E86373" w14:textId="77777777" w:rsidR="00B17273" w:rsidRPr="00B17273" w:rsidRDefault="00B17273" w:rsidP="004E0FB2">
            <w:pPr>
              <w:ind w:left="-69"/>
              <w:rPr>
                <w:rFonts w:eastAsia="Times New Roman"/>
                <w:b/>
                <w:bCs/>
                <w:color w:val="000000"/>
                <w:sz w:val="20"/>
                <w:szCs w:val="20"/>
                <w:lang w:eastAsia="pt-BR"/>
              </w:rPr>
            </w:pPr>
            <w:r w:rsidRPr="00B17273">
              <w:rPr>
                <w:rFonts w:eastAsia="Times New Roman"/>
                <w:b/>
                <w:bCs/>
                <w:color w:val="000000"/>
                <w:sz w:val="20"/>
                <w:szCs w:val="20"/>
                <w:lang w:eastAsia="pt-BR"/>
              </w:rPr>
              <w:t>Total</w:t>
            </w:r>
          </w:p>
        </w:tc>
        <w:tc>
          <w:tcPr>
            <w:tcW w:w="440" w:type="dxa"/>
            <w:tcBorders>
              <w:top w:val="nil"/>
              <w:left w:val="nil"/>
              <w:bottom w:val="single" w:sz="4" w:space="0" w:color="auto"/>
              <w:right w:val="single" w:sz="4" w:space="0" w:color="auto"/>
            </w:tcBorders>
            <w:shd w:val="clear" w:color="auto" w:fill="auto"/>
            <w:noWrap/>
            <w:vAlign w:val="bottom"/>
            <w:hideMark/>
          </w:tcPr>
          <w:p w14:paraId="723C1B13" w14:textId="77777777" w:rsidR="00B17273" w:rsidRPr="00B17273" w:rsidRDefault="00B17273" w:rsidP="00B17273">
            <w:pPr>
              <w:jc w:val="center"/>
              <w:rPr>
                <w:rFonts w:eastAsia="Times New Roman"/>
                <w:b/>
                <w:bCs/>
                <w:color w:val="000000"/>
                <w:sz w:val="20"/>
                <w:szCs w:val="20"/>
                <w:lang w:eastAsia="pt-BR"/>
              </w:rPr>
            </w:pPr>
            <w:r w:rsidRPr="00B17273">
              <w:rPr>
                <w:rFonts w:eastAsia="Times New Roman"/>
                <w:b/>
                <w:bCs/>
                <w:color w:val="000000"/>
                <w:sz w:val="20"/>
                <w:szCs w:val="20"/>
                <w:lang w:eastAsia="pt-BR"/>
              </w:rPr>
              <w:t>112</w:t>
            </w:r>
          </w:p>
        </w:tc>
        <w:tc>
          <w:tcPr>
            <w:tcW w:w="1361" w:type="dxa"/>
            <w:tcBorders>
              <w:top w:val="nil"/>
              <w:left w:val="nil"/>
              <w:bottom w:val="single" w:sz="4" w:space="0" w:color="auto"/>
              <w:right w:val="single" w:sz="4" w:space="0" w:color="auto"/>
            </w:tcBorders>
            <w:shd w:val="clear" w:color="auto" w:fill="auto"/>
            <w:noWrap/>
            <w:vAlign w:val="bottom"/>
            <w:hideMark/>
          </w:tcPr>
          <w:p w14:paraId="06E7A21D" w14:textId="77777777" w:rsidR="00B17273" w:rsidRPr="00B17273" w:rsidRDefault="00B17273" w:rsidP="00B17273">
            <w:pPr>
              <w:rPr>
                <w:rFonts w:eastAsia="Times New Roman"/>
                <w:b/>
                <w:bCs/>
                <w:color w:val="000000"/>
                <w:sz w:val="20"/>
                <w:szCs w:val="20"/>
                <w:lang w:eastAsia="pt-BR"/>
              </w:rPr>
            </w:pPr>
            <w:r w:rsidRPr="00B17273">
              <w:rPr>
                <w:rFonts w:eastAsia="Times New Roman"/>
                <w:b/>
                <w:bCs/>
                <w:color w:val="000000"/>
                <w:sz w:val="20"/>
                <w:szCs w:val="20"/>
                <w:lang w:eastAsia="pt-BR"/>
              </w:rPr>
              <w:t>11.702.227,08</w:t>
            </w:r>
          </w:p>
        </w:tc>
        <w:tc>
          <w:tcPr>
            <w:tcW w:w="409" w:type="dxa"/>
            <w:tcBorders>
              <w:top w:val="nil"/>
              <w:left w:val="nil"/>
              <w:bottom w:val="single" w:sz="4" w:space="0" w:color="auto"/>
              <w:right w:val="single" w:sz="4" w:space="0" w:color="auto"/>
            </w:tcBorders>
            <w:shd w:val="clear" w:color="auto" w:fill="auto"/>
            <w:noWrap/>
            <w:vAlign w:val="bottom"/>
            <w:hideMark/>
          </w:tcPr>
          <w:p w14:paraId="7F42EFE6" w14:textId="77777777" w:rsidR="00B17273" w:rsidRPr="00B17273" w:rsidRDefault="00B17273" w:rsidP="00B17273">
            <w:pPr>
              <w:jc w:val="center"/>
              <w:rPr>
                <w:rFonts w:eastAsia="Times New Roman"/>
                <w:b/>
                <w:bCs/>
                <w:color w:val="000000"/>
                <w:sz w:val="20"/>
                <w:szCs w:val="20"/>
                <w:lang w:eastAsia="pt-BR"/>
              </w:rPr>
            </w:pPr>
            <w:r w:rsidRPr="00B17273">
              <w:rPr>
                <w:rFonts w:eastAsia="Times New Roman"/>
                <w:b/>
                <w:bCs/>
                <w:color w:val="000000"/>
                <w:sz w:val="20"/>
                <w:szCs w:val="20"/>
                <w:lang w:eastAsia="pt-BR"/>
              </w:rPr>
              <w:t>94</w:t>
            </w:r>
          </w:p>
        </w:tc>
        <w:tc>
          <w:tcPr>
            <w:tcW w:w="1369" w:type="dxa"/>
            <w:tcBorders>
              <w:top w:val="nil"/>
              <w:left w:val="nil"/>
              <w:bottom w:val="single" w:sz="4" w:space="0" w:color="auto"/>
              <w:right w:val="single" w:sz="4" w:space="0" w:color="auto"/>
            </w:tcBorders>
            <w:shd w:val="clear" w:color="auto" w:fill="auto"/>
            <w:noWrap/>
            <w:vAlign w:val="bottom"/>
            <w:hideMark/>
          </w:tcPr>
          <w:p w14:paraId="45FA41B1" w14:textId="77777777" w:rsidR="00B17273" w:rsidRPr="00B17273" w:rsidRDefault="00B17273" w:rsidP="00B17273">
            <w:pPr>
              <w:rPr>
                <w:rFonts w:eastAsia="Times New Roman"/>
                <w:b/>
                <w:bCs/>
                <w:color w:val="000000"/>
                <w:sz w:val="20"/>
                <w:szCs w:val="20"/>
                <w:lang w:eastAsia="pt-BR"/>
              </w:rPr>
            </w:pPr>
            <w:r w:rsidRPr="00B17273">
              <w:rPr>
                <w:rFonts w:eastAsia="Times New Roman"/>
                <w:b/>
                <w:bCs/>
                <w:color w:val="000000"/>
                <w:sz w:val="20"/>
                <w:szCs w:val="20"/>
                <w:lang w:eastAsia="pt-BR"/>
              </w:rPr>
              <w:t>14.452.743,90</w:t>
            </w:r>
          </w:p>
        </w:tc>
        <w:tc>
          <w:tcPr>
            <w:tcW w:w="595" w:type="dxa"/>
            <w:tcBorders>
              <w:top w:val="nil"/>
              <w:left w:val="nil"/>
              <w:bottom w:val="single" w:sz="4" w:space="0" w:color="auto"/>
              <w:right w:val="single" w:sz="4" w:space="0" w:color="auto"/>
            </w:tcBorders>
            <w:shd w:val="clear" w:color="auto" w:fill="auto"/>
            <w:noWrap/>
            <w:vAlign w:val="bottom"/>
            <w:hideMark/>
          </w:tcPr>
          <w:p w14:paraId="2CB6F5F3" w14:textId="77777777" w:rsidR="00B17273" w:rsidRPr="00B17273" w:rsidRDefault="00B17273" w:rsidP="00B17273">
            <w:pPr>
              <w:jc w:val="center"/>
              <w:rPr>
                <w:rFonts w:eastAsia="Times New Roman"/>
                <w:b/>
                <w:bCs/>
                <w:color w:val="000000"/>
                <w:sz w:val="20"/>
                <w:szCs w:val="20"/>
                <w:lang w:eastAsia="pt-BR"/>
              </w:rPr>
            </w:pPr>
            <w:r w:rsidRPr="00B17273">
              <w:rPr>
                <w:rFonts w:eastAsia="Times New Roman"/>
                <w:b/>
                <w:bCs/>
                <w:color w:val="000000"/>
                <w:sz w:val="20"/>
                <w:szCs w:val="20"/>
                <w:lang w:eastAsia="pt-BR"/>
              </w:rPr>
              <w:t>122</w:t>
            </w:r>
          </w:p>
        </w:tc>
        <w:tc>
          <w:tcPr>
            <w:tcW w:w="1348" w:type="dxa"/>
            <w:tcBorders>
              <w:top w:val="nil"/>
              <w:left w:val="nil"/>
              <w:bottom w:val="single" w:sz="4" w:space="0" w:color="auto"/>
              <w:right w:val="single" w:sz="4" w:space="0" w:color="auto"/>
            </w:tcBorders>
            <w:shd w:val="clear" w:color="auto" w:fill="auto"/>
            <w:noWrap/>
            <w:vAlign w:val="bottom"/>
            <w:hideMark/>
          </w:tcPr>
          <w:p w14:paraId="02062C2B" w14:textId="77777777" w:rsidR="00B17273" w:rsidRPr="00B17273" w:rsidRDefault="00B17273" w:rsidP="00B17273">
            <w:pPr>
              <w:rPr>
                <w:rFonts w:eastAsia="Times New Roman"/>
                <w:b/>
                <w:bCs/>
                <w:color w:val="000000"/>
                <w:sz w:val="20"/>
                <w:szCs w:val="20"/>
                <w:lang w:eastAsia="pt-BR"/>
              </w:rPr>
            </w:pPr>
            <w:r w:rsidRPr="00B17273">
              <w:rPr>
                <w:rFonts w:eastAsia="Times New Roman"/>
                <w:b/>
                <w:bCs/>
                <w:color w:val="000000"/>
                <w:sz w:val="20"/>
                <w:szCs w:val="20"/>
                <w:lang w:eastAsia="pt-BR"/>
              </w:rPr>
              <w:t>19.722.082,11</w:t>
            </w:r>
          </w:p>
        </w:tc>
        <w:tc>
          <w:tcPr>
            <w:tcW w:w="368" w:type="dxa"/>
            <w:tcBorders>
              <w:top w:val="nil"/>
              <w:left w:val="nil"/>
              <w:bottom w:val="single" w:sz="4" w:space="0" w:color="auto"/>
              <w:right w:val="single" w:sz="4" w:space="0" w:color="auto"/>
            </w:tcBorders>
            <w:shd w:val="clear" w:color="auto" w:fill="auto"/>
            <w:noWrap/>
            <w:vAlign w:val="bottom"/>
            <w:hideMark/>
          </w:tcPr>
          <w:p w14:paraId="41D92CA3" w14:textId="77777777" w:rsidR="00B17273" w:rsidRPr="00B17273" w:rsidRDefault="00B17273" w:rsidP="00B17273">
            <w:pPr>
              <w:jc w:val="center"/>
              <w:rPr>
                <w:rFonts w:eastAsia="Times New Roman"/>
                <w:b/>
                <w:bCs/>
                <w:color w:val="000000"/>
                <w:sz w:val="20"/>
                <w:szCs w:val="20"/>
                <w:lang w:eastAsia="pt-BR"/>
              </w:rPr>
            </w:pPr>
            <w:r w:rsidRPr="00B17273">
              <w:rPr>
                <w:rFonts w:eastAsia="Times New Roman"/>
                <w:b/>
                <w:bCs/>
                <w:color w:val="000000"/>
                <w:sz w:val="20"/>
                <w:szCs w:val="20"/>
                <w:lang w:eastAsia="pt-BR"/>
              </w:rPr>
              <w:t>77</w:t>
            </w:r>
          </w:p>
        </w:tc>
        <w:tc>
          <w:tcPr>
            <w:tcW w:w="1207" w:type="dxa"/>
            <w:tcBorders>
              <w:top w:val="nil"/>
              <w:left w:val="nil"/>
              <w:bottom w:val="single" w:sz="4" w:space="0" w:color="auto"/>
              <w:right w:val="nil"/>
            </w:tcBorders>
            <w:shd w:val="clear" w:color="auto" w:fill="auto"/>
            <w:noWrap/>
            <w:vAlign w:val="bottom"/>
            <w:hideMark/>
          </w:tcPr>
          <w:p w14:paraId="439239D7" w14:textId="77777777" w:rsidR="00B17273" w:rsidRPr="00B17273" w:rsidRDefault="00B17273" w:rsidP="00B17273">
            <w:pPr>
              <w:rPr>
                <w:rFonts w:eastAsia="Times New Roman"/>
                <w:b/>
                <w:bCs/>
                <w:color w:val="000000"/>
                <w:sz w:val="20"/>
                <w:szCs w:val="20"/>
                <w:lang w:eastAsia="pt-BR"/>
              </w:rPr>
            </w:pPr>
            <w:r w:rsidRPr="00B17273">
              <w:rPr>
                <w:rFonts w:eastAsia="Times New Roman"/>
                <w:b/>
                <w:bCs/>
                <w:color w:val="000000"/>
                <w:sz w:val="20"/>
                <w:szCs w:val="20"/>
                <w:lang w:eastAsia="pt-BR"/>
              </w:rPr>
              <w:t>19.119.778,65</w:t>
            </w:r>
          </w:p>
        </w:tc>
      </w:tr>
    </w:tbl>
    <w:p w14:paraId="5038B9FF" w14:textId="669CF5D9" w:rsidR="00AC60E9" w:rsidRDefault="00775A65" w:rsidP="00EC21B7">
      <w:pPr>
        <w:spacing w:after="160" w:line="360" w:lineRule="auto"/>
        <w:ind w:left="284"/>
        <w:rPr>
          <w:sz w:val="20"/>
          <w:szCs w:val="20"/>
        </w:rPr>
      </w:pPr>
      <w:r>
        <w:rPr>
          <w:sz w:val="20"/>
          <w:szCs w:val="20"/>
        </w:rPr>
        <w:t>Fonte: Dados da pesquisa (2021)</w:t>
      </w:r>
    </w:p>
    <w:p w14:paraId="2E9078D9" w14:textId="77777777" w:rsidR="00EC21B7" w:rsidRDefault="00EC21B7" w:rsidP="00475F5D">
      <w:pPr>
        <w:spacing w:after="160"/>
        <w:ind w:left="284"/>
        <w:rPr>
          <w:sz w:val="20"/>
          <w:szCs w:val="20"/>
        </w:rPr>
      </w:pPr>
    </w:p>
    <w:p w14:paraId="223C3D00" w14:textId="55E76C4A" w:rsidR="006B4F46" w:rsidRDefault="004165B6" w:rsidP="00EC21B7">
      <w:pPr>
        <w:pStyle w:val="UnidaviTexto-Espao15"/>
      </w:pPr>
      <w:r>
        <w:t xml:space="preserve">Destaca-se que a modalidade pregão eletrônico começou a ser utilizada pelo município no ano de 2018, e modalidade leilão foi utilizada uma vez ao longo dos quatro anos, </w:t>
      </w:r>
      <w:r w:rsidR="007E1579">
        <w:t xml:space="preserve">mais especificamente no ano de </w:t>
      </w:r>
      <w:r>
        <w:t>2020.</w:t>
      </w:r>
      <w:r w:rsidR="00097601">
        <w:t xml:space="preserve"> Sobre os valores totais licitados anuais, é possível observar um aumento</w:t>
      </w:r>
      <w:r w:rsidR="00AC60E9">
        <w:t xml:space="preserve"> ano após ano. Apesar de a quantidade</w:t>
      </w:r>
      <w:r w:rsidR="00097601">
        <w:t xml:space="preserve"> de licitações </w:t>
      </w:r>
      <w:r w:rsidR="00AC60E9">
        <w:t xml:space="preserve">realizadas </w:t>
      </w:r>
      <w:r w:rsidR="00097601">
        <w:t>por ano ter variações, ou seja, não seguiram uma linha de cresc</w:t>
      </w:r>
      <w:r w:rsidR="00AC60E9">
        <w:t xml:space="preserve">imento, teve alto e baixos, </w:t>
      </w:r>
      <w:r w:rsidR="00097601">
        <w:t>mesmo assim o valor total licitado cresceu constantemente, indicando o aument</w:t>
      </w:r>
      <w:r w:rsidR="007E1579">
        <w:t>o de investimentos no município, com exceção ao ano de 2020 que teve uma queda de valores totais investidos.</w:t>
      </w:r>
    </w:p>
    <w:p w14:paraId="2549F61B" w14:textId="5A615554" w:rsidR="00775A65" w:rsidRPr="00775A65" w:rsidRDefault="00775A65" w:rsidP="00775A65">
      <w:pPr>
        <w:ind w:left="284" w:right="284"/>
        <w:contextualSpacing/>
        <w:rPr>
          <w:b/>
          <w:sz w:val="20"/>
        </w:rPr>
      </w:pPr>
      <w:r w:rsidRPr="007F2776">
        <w:rPr>
          <w:b/>
          <w:sz w:val="20"/>
        </w:rPr>
        <w:lastRenderedPageBreak/>
        <w:t>Gr</w:t>
      </w:r>
      <w:r>
        <w:rPr>
          <w:b/>
          <w:sz w:val="20"/>
        </w:rPr>
        <w:t>áfico 29</w:t>
      </w:r>
      <w:r w:rsidRPr="007F2776">
        <w:rPr>
          <w:b/>
          <w:sz w:val="20"/>
        </w:rPr>
        <w:t xml:space="preserve"> – </w:t>
      </w:r>
      <w:r>
        <w:rPr>
          <w:b/>
          <w:sz w:val="20"/>
        </w:rPr>
        <w:t>Quantidade de licitações por modalidade 2017 - 2020</w:t>
      </w:r>
    </w:p>
    <w:p w14:paraId="38AF2695" w14:textId="2A2B7DE0" w:rsidR="00097601" w:rsidRDefault="002073B3" w:rsidP="002073B3">
      <w:pPr>
        <w:pStyle w:val="UnidaviTexto-Espao15"/>
        <w:spacing w:line="240" w:lineRule="auto"/>
        <w:ind w:left="284" w:right="283" w:firstLine="0"/>
        <w:rPr>
          <w:sz w:val="20"/>
          <w:szCs w:val="20"/>
        </w:rPr>
      </w:pPr>
      <w:r>
        <w:rPr>
          <w:noProof/>
        </w:rPr>
        <w:drawing>
          <wp:inline distT="0" distB="0" distL="0" distR="0" wp14:anchorId="6188B591" wp14:editId="2DF0E0B0">
            <wp:extent cx="5231765" cy="3381555"/>
            <wp:effectExtent l="0" t="0" r="6985" b="952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48BB09" w14:textId="7E280F83" w:rsidR="00097601" w:rsidRDefault="00775A65" w:rsidP="00097601">
      <w:pPr>
        <w:spacing w:after="160" w:line="360" w:lineRule="auto"/>
        <w:ind w:left="284" w:right="283"/>
        <w:contextualSpacing/>
        <w:rPr>
          <w:sz w:val="20"/>
        </w:rPr>
      </w:pPr>
      <w:r>
        <w:rPr>
          <w:sz w:val="20"/>
        </w:rPr>
        <w:t>Fonte: Dados da pesquisa (2021)</w:t>
      </w:r>
    </w:p>
    <w:p w14:paraId="61E809A0" w14:textId="77777777" w:rsidR="00775A65" w:rsidRPr="00097601" w:rsidRDefault="00775A65" w:rsidP="00EC21B7">
      <w:pPr>
        <w:spacing w:after="160"/>
        <w:ind w:left="284" w:right="283"/>
        <w:contextualSpacing/>
        <w:rPr>
          <w:sz w:val="20"/>
        </w:rPr>
      </w:pPr>
    </w:p>
    <w:p w14:paraId="75DA4C8E" w14:textId="71699C41" w:rsidR="007C0937" w:rsidRDefault="00AC60E9" w:rsidP="005962FB">
      <w:pPr>
        <w:pStyle w:val="UnidaviTexto-Espao15"/>
        <w:tabs>
          <w:tab w:val="left" w:pos="8647"/>
        </w:tabs>
      </w:pPr>
      <w:r>
        <w:t xml:space="preserve">O Gráfico 29 ilustra a quantidade de licitações realizadas em cada modalidade. </w:t>
      </w:r>
      <w:r w:rsidR="00097601">
        <w:t>Observa</w:t>
      </w:r>
      <w:r w:rsidR="008426BC">
        <w:t>-se que a modalidade mais utilizada em todos os quatro anos é a modalidade pregão presencial. Em todos os anos essa modalidade venceu tanto em quantidade de licitações co</w:t>
      </w:r>
      <w:r w:rsidR="007E1579">
        <w:t>mo nos valores totais licitados.</w:t>
      </w:r>
    </w:p>
    <w:p w14:paraId="63130DC7" w14:textId="77777777" w:rsidR="00160C4B" w:rsidRDefault="00160C4B" w:rsidP="00AC60E9">
      <w:pPr>
        <w:pStyle w:val="UnidaviTexto-Espao15"/>
        <w:tabs>
          <w:tab w:val="left" w:pos="8647"/>
        </w:tabs>
        <w:spacing w:line="240" w:lineRule="auto"/>
      </w:pPr>
    </w:p>
    <w:p w14:paraId="4B95A40C" w14:textId="27A66BC5" w:rsidR="00160C4B" w:rsidRPr="00F366B6" w:rsidRDefault="00160C4B" w:rsidP="00F366B6">
      <w:pPr>
        <w:pStyle w:val="UnidaviTexto-Espao15"/>
        <w:tabs>
          <w:tab w:val="left" w:pos="8647"/>
        </w:tabs>
        <w:spacing w:line="240" w:lineRule="auto"/>
        <w:ind w:left="284" w:firstLine="0"/>
        <w:rPr>
          <w:b/>
        </w:rPr>
      </w:pPr>
      <w:r w:rsidRPr="00F366B6">
        <w:rPr>
          <w:b/>
          <w:sz w:val="20"/>
        </w:rPr>
        <w:t>Tabela 22 – Quantid</w:t>
      </w:r>
      <w:r w:rsidR="0057458E" w:rsidRPr="00F366B6">
        <w:rPr>
          <w:b/>
          <w:sz w:val="20"/>
        </w:rPr>
        <w:t>ade de empresas participantes</w:t>
      </w:r>
      <w:r w:rsidRPr="00F366B6">
        <w:rPr>
          <w:b/>
          <w:sz w:val="20"/>
        </w:rPr>
        <w:t xml:space="preserve"> por região – 2017 a 2020</w:t>
      </w:r>
    </w:p>
    <w:tbl>
      <w:tblPr>
        <w:tblW w:w="8221" w:type="dxa"/>
        <w:tblInd w:w="284" w:type="dxa"/>
        <w:tblCellMar>
          <w:left w:w="70" w:type="dxa"/>
          <w:right w:w="70" w:type="dxa"/>
        </w:tblCellMar>
        <w:tblLook w:val="04A0" w:firstRow="1" w:lastRow="0" w:firstColumn="1" w:lastColumn="0" w:noHBand="0" w:noVBand="1"/>
      </w:tblPr>
      <w:tblGrid>
        <w:gridCol w:w="1496"/>
        <w:gridCol w:w="1197"/>
        <w:gridCol w:w="1134"/>
        <w:gridCol w:w="1134"/>
        <w:gridCol w:w="992"/>
        <w:gridCol w:w="1276"/>
        <w:gridCol w:w="992"/>
      </w:tblGrid>
      <w:tr w:rsidR="00160C4B" w:rsidRPr="00160C4B" w14:paraId="353708F2" w14:textId="77777777" w:rsidTr="00F366B6">
        <w:trPr>
          <w:trHeight w:val="278"/>
        </w:trPr>
        <w:tc>
          <w:tcPr>
            <w:tcW w:w="1496" w:type="dxa"/>
            <w:tcBorders>
              <w:top w:val="single" w:sz="4" w:space="0" w:color="auto"/>
              <w:left w:val="nil"/>
              <w:bottom w:val="single" w:sz="4" w:space="0" w:color="auto"/>
              <w:right w:val="single" w:sz="4" w:space="0" w:color="auto"/>
            </w:tcBorders>
            <w:shd w:val="clear" w:color="auto" w:fill="auto"/>
            <w:noWrap/>
            <w:vAlign w:val="bottom"/>
            <w:hideMark/>
          </w:tcPr>
          <w:p w14:paraId="584E2DAF" w14:textId="77777777" w:rsidR="00160C4B" w:rsidRPr="00160C4B" w:rsidRDefault="00160C4B" w:rsidP="003C6000">
            <w:pPr>
              <w:ind w:left="-69"/>
              <w:rPr>
                <w:rFonts w:eastAsia="Times New Roman"/>
                <w:b/>
                <w:bCs/>
                <w:color w:val="000000"/>
                <w:sz w:val="20"/>
                <w:szCs w:val="20"/>
                <w:lang w:eastAsia="pt-BR"/>
              </w:rPr>
            </w:pPr>
            <w:r w:rsidRPr="00160C4B">
              <w:rPr>
                <w:rFonts w:eastAsia="Times New Roman"/>
                <w:b/>
                <w:bCs/>
                <w:color w:val="000000"/>
                <w:sz w:val="20"/>
                <w:szCs w:val="20"/>
                <w:lang w:eastAsia="pt-BR"/>
              </w:rPr>
              <w:t>Participantes</w:t>
            </w:r>
          </w:p>
        </w:tc>
        <w:tc>
          <w:tcPr>
            <w:tcW w:w="1197" w:type="dxa"/>
            <w:tcBorders>
              <w:top w:val="single" w:sz="4" w:space="0" w:color="auto"/>
              <w:left w:val="nil"/>
              <w:bottom w:val="single" w:sz="4" w:space="0" w:color="auto"/>
              <w:right w:val="single" w:sz="4" w:space="0" w:color="auto"/>
            </w:tcBorders>
            <w:shd w:val="clear" w:color="auto" w:fill="auto"/>
            <w:noWrap/>
            <w:vAlign w:val="bottom"/>
            <w:hideMark/>
          </w:tcPr>
          <w:p w14:paraId="4A3B716F" w14:textId="77777777" w:rsidR="00160C4B" w:rsidRPr="00160C4B" w:rsidRDefault="00160C4B" w:rsidP="00160C4B">
            <w:pPr>
              <w:jc w:val="center"/>
              <w:rPr>
                <w:rFonts w:eastAsia="Times New Roman"/>
                <w:b/>
                <w:bCs/>
                <w:color w:val="000000"/>
                <w:sz w:val="20"/>
                <w:szCs w:val="20"/>
                <w:lang w:eastAsia="pt-BR"/>
              </w:rPr>
            </w:pPr>
            <w:r w:rsidRPr="00160C4B">
              <w:rPr>
                <w:rFonts w:eastAsia="Times New Roman"/>
                <w:b/>
                <w:bCs/>
                <w:color w:val="000000"/>
                <w:sz w:val="20"/>
                <w:szCs w:val="20"/>
                <w:lang w:eastAsia="pt-BR"/>
              </w:rPr>
              <w:t>2017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57B8783" w14:textId="77777777" w:rsidR="00160C4B" w:rsidRPr="00160C4B" w:rsidRDefault="00160C4B" w:rsidP="00160C4B">
            <w:pPr>
              <w:jc w:val="center"/>
              <w:rPr>
                <w:rFonts w:eastAsia="Times New Roman"/>
                <w:b/>
                <w:bCs/>
                <w:color w:val="000000"/>
                <w:sz w:val="20"/>
                <w:szCs w:val="20"/>
                <w:lang w:eastAsia="pt-BR"/>
              </w:rPr>
            </w:pPr>
            <w:r w:rsidRPr="00160C4B">
              <w:rPr>
                <w:rFonts w:eastAsia="Times New Roman"/>
                <w:b/>
                <w:bCs/>
                <w:color w:val="000000"/>
                <w:sz w:val="20"/>
                <w:szCs w:val="20"/>
                <w:lang w:eastAsia="pt-BR"/>
              </w:rPr>
              <w:t>2018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F0AA4C6" w14:textId="77777777" w:rsidR="00160C4B" w:rsidRPr="00160C4B" w:rsidRDefault="00160C4B" w:rsidP="00160C4B">
            <w:pPr>
              <w:jc w:val="center"/>
              <w:rPr>
                <w:rFonts w:eastAsia="Times New Roman"/>
                <w:b/>
                <w:bCs/>
                <w:color w:val="000000"/>
                <w:sz w:val="20"/>
                <w:szCs w:val="20"/>
                <w:lang w:eastAsia="pt-BR"/>
              </w:rPr>
            </w:pPr>
            <w:r w:rsidRPr="00160C4B">
              <w:rPr>
                <w:rFonts w:eastAsia="Times New Roman"/>
                <w:b/>
                <w:bCs/>
                <w:color w:val="000000"/>
                <w:sz w:val="20"/>
                <w:szCs w:val="20"/>
                <w:lang w:eastAsia="pt-BR"/>
              </w:rPr>
              <w:t>2019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6602741" w14:textId="77777777" w:rsidR="00160C4B" w:rsidRPr="00160C4B" w:rsidRDefault="00160C4B" w:rsidP="00160C4B">
            <w:pPr>
              <w:jc w:val="center"/>
              <w:rPr>
                <w:rFonts w:eastAsia="Times New Roman"/>
                <w:b/>
                <w:bCs/>
                <w:color w:val="000000"/>
                <w:sz w:val="20"/>
                <w:szCs w:val="20"/>
                <w:lang w:eastAsia="pt-BR"/>
              </w:rPr>
            </w:pPr>
            <w:r w:rsidRPr="00160C4B">
              <w:rPr>
                <w:rFonts w:eastAsia="Times New Roman"/>
                <w:b/>
                <w:bCs/>
                <w:color w:val="000000"/>
                <w:sz w:val="20"/>
                <w:szCs w:val="20"/>
                <w:lang w:eastAsia="pt-BR"/>
              </w:rPr>
              <w:t>2020</w:t>
            </w:r>
          </w:p>
        </w:tc>
        <w:tc>
          <w:tcPr>
            <w:tcW w:w="1276" w:type="dxa"/>
            <w:tcBorders>
              <w:top w:val="single" w:sz="4" w:space="0" w:color="auto"/>
              <w:left w:val="nil"/>
              <w:bottom w:val="single" w:sz="4" w:space="0" w:color="auto"/>
              <w:right w:val="nil"/>
            </w:tcBorders>
            <w:shd w:val="clear" w:color="auto" w:fill="auto"/>
            <w:noWrap/>
            <w:vAlign w:val="bottom"/>
            <w:hideMark/>
          </w:tcPr>
          <w:p w14:paraId="11CED4F6" w14:textId="77777777" w:rsidR="00160C4B" w:rsidRPr="00160C4B" w:rsidRDefault="00160C4B" w:rsidP="00160C4B">
            <w:pPr>
              <w:jc w:val="center"/>
              <w:rPr>
                <w:rFonts w:eastAsia="Times New Roman"/>
                <w:b/>
                <w:bCs/>
                <w:color w:val="000000"/>
                <w:sz w:val="20"/>
                <w:szCs w:val="20"/>
                <w:lang w:eastAsia="pt-BR"/>
              </w:rPr>
            </w:pPr>
            <w:r w:rsidRPr="00160C4B">
              <w:rPr>
                <w:rFonts w:eastAsia="Times New Roman"/>
                <w:b/>
                <w:bCs/>
                <w:color w:val="000000"/>
                <w:sz w:val="20"/>
                <w:szCs w:val="20"/>
                <w:lang w:eastAsia="pt-BR"/>
              </w:rPr>
              <w:t>Total</w:t>
            </w:r>
          </w:p>
        </w:tc>
        <w:tc>
          <w:tcPr>
            <w:tcW w:w="992" w:type="dxa"/>
            <w:tcBorders>
              <w:top w:val="single" w:sz="4" w:space="0" w:color="auto"/>
              <w:left w:val="single" w:sz="4" w:space="0" w:color="auto"/>
              <w:bottom w:val="single" w:sz="4" w:space="0" w:color="auto"/>
              <w:right w:val="nil"/>
            </w:tcBorders>
            <w:shd w:val="clear" w:color="auto" w:fill="auto"/>
            <w:noWrap/>
            <w:vAlign w:val="bottom"/>
            <w:hideMark/>
          </w:tcPr>
          <w:p w14:paraId="46CCADDE" w14:textId="77777777" w:rsidR="00160C4B" w:rsidRPr="00160C4B" w:rsidRDefault="00160C4B" w:rsidP="00160C4B">
            <w:pPr>
              <w:jc w:val="center"/>
              <w:rPr>
                <w:rFonts w:eastAsia="Times New Roman"/>
                <w:b/>
                <w:bCs/>
                <w:color w:val="000000"/>
                <w:sz w:val="20"/>
                <w:szCs w:val="20"/>
                <w:lang w:eastAsia="pt-BR"/>
              </w:rPr>
            </w:pPr>
            <w:r w:rsidRPr="00160C4B">
              <w:rPr>
                <w:rFonts w:eastAsia="Times New Roman"/>
                <w:b/>
                <w:bCs/>
                <w:color w:val="000000"/>
                <w:sz w:val="20"/>
                <w:szCs w:val="20"/>
                <w:lang w:eastAsia="pt-BR"/>
              </w:rPr>
              <w:t>%</w:t>
            </w:r>
          </w:p>
        </w:tc>
      </w:tr>
      <w:tr w:rsidR="00160C4B" w:rsidRPr="00160C4B" w14:paraId="207008EF" w14:textId="77777777" w:rsidTr="00F366B6">
        <w:trPr>
          <w:trHeight w:val="278"/>
        </w:trPr>
        <w:tc>
          <w:tcPr>
            <w:tcW w:w="1496" w:type="dxa"/>
            <w:tcBorders>
              <w:top w:val="nil"/>
              <w:left w:val="nil"/>
              <w:bottom w:val="single" w:sz="4" w:space="0" w:color="auto"/>
              <w:right w:val="single" w:sz="4" w:space="0" w:color="auto"/>
            </w:tcBorders>
            <w:shd w:val="clear" w:color="auto" w:fill="auto"/>
            <w:noWrap/>
            <w:vAlign w:val="bottom"/>
            <w:hideMark/>
          </w:tcPr>
          <w:p w14:paraId="1B5F09F4" w14:textId="77777777" w:rsidR="00160C4B" w:rsidRPr="00160C4B" w:rsidRDefault="00160C4B" w:rsidP="003C6000">
            <w:pPr>
              <w:ind w:left="-69"/>
              <w:rPr>
                <w:rFonts w:eastAsia="Times New Roman"/>
                <w:color w:val="000000"/>
                <w:sz w:val="20"/>
                <w:szCs w:val="20"/>
                <w:lang w:eastAsia="pt-BR"/>
              </w:rPr>
            </w:pPr>
            <w:r w:rsidRPr="00160C4B">
              <w:rPr>
                <w:rFonts w:eastAsia="Times New Roman"/>
                <w:color w:val="000000"/>
                <w:sz w:val="20"/>
                <w:szCs w:val="20"/>
                <w:lang w:eastAsia="pt-BR"/>
              </w:rPr>
              <w:t>Empresas de Taió</w:t>
            </w:r>
          </w:p>
        </w:tc>
        <w:tc>
          <w:tcPr>
            <w:tcW w:w="1197" w:type="dxa"/>
            <w:tcBorders>
              <w:top w:val="nil"/>
              <w:left w:val="nil"/>
              <w:bottom w:val="single" w:sz="4" w:space="0" w:color="auto"/>
              <w:right w:val="single" w:sz="4" w:space="0" w:color="auto"/>
            </w:tcBorders>
            <w:shd w:val="clear" w:color="auto" w:fill="auto"/>
            <w:noWrap/>
            <w:vAlign w:val="bottom"/>
            <w:hideMark/>
          </w:tcPr>
          <w:p w14:paraId="280D878B"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121</w:t>
            </w:r>
          </w:p>
        </w:tc>
        <w:tc>
          <w:tcPr>
            <w:tcW w:w="1134" w:type="dxa"/>
            <w:tcBorders>
              <w:top w:val="nil"/>
              <w:left w:val="nil"/>
              <w:bottom w:val="single" w:sz="4" w:space="0" w:color="auto"/>
              <w:right w:val="single" w:sz="4" w:space="0" w:color="auto"/>
            </w:tcBorders>
            <w:shd w:val="clear" w:color="auto" w:fill="auto"/>
            <w:noWrap/>
            <w:vAlign w:val="bottom"/>
            <w:hideMark/>
          </w:tcPr>
          <w:p w14:paraId="2A15B84A"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82</w:t>
            </w:r>
          </w:p>
        </w:tc>
        <w:tc>
          <w:tcPr>
            <w:tcW w:w="1134" w:type="dxa"/>
            <w:tcBorders>
              <w:top w:val="nil"/>
              <w:left w:val="nil"/>
              <w:bottom w:val="single" w:sz="4" w:space="0" w:color="auto"/>
              <w:right w:val="single" w:sz="4" w:space="0" w:color="auto"/>
            </w:tcBorders>
            <w:shd w:val="clear" w:color="auto" w:fill="auto"/>
            <w:noWrap/>
            <w:vAlign w:val="bottom"/>
            <w:hideMark/>
          </w:tcPr>
          <w:p w14:paraId="1E4BABBA"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103</w:t>
            </w:r>
          </w:p>
        </w:tc>
        <w:tc>
          <w:tcPr>
            <w:tcW w:w="992" w:type="dxa"/>
            <w:tcBorders>
              <w:top w:val="nil"/>
              <w:left w:val="nil"/>
              <w:bottom w:val="single" w:sz="4" w:space="0" w:color="auto"/>
              <w:right w:val="single" w:sz="4" w:space="0" w:color="auto"/>
            </w:tcBorders>
            <w:shd w:val="clear" w:color="auto" w:fill="auto"/>
            <w:noWrap/>
            <w:vAlign w:val="bottom"/>
            <w:hideMark/>
          </w:tcPr>
          <w:p w14:paraId="5807C4ED"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90</w:t>
            </w:r>
          </w:p>
        </w:tc>
        <w:tc>
          <w:tcPr>
            <w:tcW w:w="1276" w:type="dxa"/>
            <w:tcBorders>
              <w:top w:val="nil"/>
              <w:left w:val="nil"/>
              <w:bottom w:val="single" w:sz="4" w:space="0" w:color="auto"/>
              <w:right w:val="single" w:sz="4" w:space="0" w:color="auto"/>
            </w:tcBorders>
            <w:shd w:val="clear" w:color="auto" w:fill="auto"/>
            <w:noWrap/>
            <w:vAlign w:val="bottom"/>
            <w:hideMark/>
          </w:tcPr>
          <w:p w14:paraId="3D1AA771"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396</w:t>
            </w:r>
          </w:p>
        </w:tc>
        <w:tc>
          <w:tcPr>
            <w:tcW w:w="992" w:type="dxa"/>
            <w:tcBorders>
              <w:top w:val="nil"/>
              <w:left w:val="nil"/>
              <w:bottom w:val="single" w:sz="4" w:space="0" w:color="auto"/>
              <w:right w:val="nil"/>
            </w:tcBorders>
            <w:shd w:val="clear" w:color="auto" w:fill="auto"/>
            <w:noWrap/>
            <w:vAlign w:val="bottom"/>
            <w:hideMark/>
          </w:tcPr>
          <w:p w14:paraId="429670BE"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33,14%</w:t>
            </w:r>
          </w:p>
        </w:tc>
      </w:tr>
      <w:tr w:rsidR="00160C4B" w:rsidRPr="00160C4B" w14:paraId="4E20BF09" w14:textId="77777777" w:rsidTr="00F366B6">
        <w:trPr>
          <w:trHeight w:val="278"/>
        </w:trPr>
        <w:tc>
          <w:tcPr>
            <w:tcW w:w="1496" w:type="dxa"/>
            <w:tcBorders>
              <w:top w:val="nil"/>
              <w:left w:val="nil"/>
              <w:bottom w:val="single" w:sz="4" w:space="0" w:color="auto"/>
              <w:right w:val="single" w:sz="4" w:space="0" w:color="auto"/>
            </w:tcBorders>
            <w:shd w:val="clear" w:color="auto" w:fill="auto"/>
            <w:noWrap/>
            <w:vAlign w:val="bottom"/>
            <w:hideMark/>
          </w:tcPr>
          <w:p w14:paraId="05137F7C" w14:textId="77777777" w:rsidR="00160C4B" w:rsidRPr="00160C4B" w:rsidRDefault="00160C4B" w:rsidP="003C6000">
            <w:pPr>
              <w:ind w:left="-69"/>
              <w:rPr>
                <w:rFonts w:eastAsia="Times New Roman"/>
                <w:color w:val="000000"/>
                <w:sz w:val="20"/>
                <w:szCs w:val="20"/>
                <w:lang w:eastAsia="pt-BR"/>
              </w:rPr>
            </w:pPr>
            <w:r w:rsidRPr="00160C4B">
              <w:rPr>
                <w:rFonts w:eastAsia="Times New Roman"/>
                <w:color w:val="000000"/>
                <w:sz w:val="20"/>
                <w:szCs w:val="20"/>
                <w:lang w:eastAsia="pt-BR"/>
              </w:rPr>
              <w:t>Empresas do Alto Vale</w:t>
            </w:r>
          </w:p>
        </w:tc>
        <w:tc>
          <w:tcPr>
            <w:tcW w:w="1197" w:type="dxa"/>
            <w:tcBorders>
              <w:top w:val="nil"/>
              <w:left w:val="nil"/>
              <w:bottom w:val="single" w:sz="4" w:space="0" w:color="auto"/>
              <w:right w:val="single" w:sz="4" w:space="0" w:color="auto"/>
            </w:tcBorders>
            <w:shd w:val="clear" w:color="auto" w:fill="auto"/>
            <w:noWrap/>
            <w:vAlign w:val="bottom"/>
            <w:hideMark/>
          </w:tcPr>
          <w:p w14:paraId="580E7689"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49</w:t>
            </w:r>
          </w:p>
        </w:tc>
        <w:tc>
          <w:tcPr>
            <w:tcW w:w="1134" w:type="dxa"/>
            <w:tcBorders>
              <w:top w:val="nil"/>
              <w:left w:val="nil"/>
              <w:bottom w:val="single" w:sz="4" w:space="0" w:color="auto"/>
              <w:right w:val="single" w:sz="4" w:space="0" w:color="auto"/>
            </w:tcBorders>
            <w:shd w:val="clear" w:color="auto" w:fill="auto"/>
            <w:noWrap/>
            <w:vAlign w:val="bottom"/>
            <w:hideMark/>
          </w:tcPr>
          <w:p w14:paraId="3DE65257"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74</w:t>
            </w:r>
          </w:p>
        </w:tc>
        <w:tc>
          <w:tcPr>
            <w:tcW w:w="1134" w:type="dxa"/>
            <w:tcBorders>
              <w:top w:val="nil"/>
              <w:left w:val="nil"/>
              <w:bottom w:val="single" w:sz="4" w:space="0" w:color="auto"/>
              <w:right w:val="single" w:sz="4" w:space="0" w:color="auto"/>
            </w:tcBorders>
            <w:shd w:val="clear" w:color="auto" w:fill="auto"/>
            <w:noWrap/>
            <w:vAlign w:val="bottom"/>
            <w:hideMark/>
          </w:tcPr>
          <w:p w14:paraId="47F1B503"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72</w:t>
            </w:r>
          </w:p>
        </w:tc>
        <w:tc>
          <w:tcPr>
            <w:tcW w:w="992" w:type="dxa"/>
            <w:tcBorders>
              <w:top w:val="nil"/>
              <w:left w:val="nil"/>
              <w:bottom w:val="single" w:sz="4" w:space="0" w:color="auto"/>
              <w:right w:val="single" w:sz="4" w:space="0" w:color="auto"/>
            </w:tcBorders>
            <w:shd w:val="clear" w:color="auto" w:fill="auto"/>
            <w:noWrap/>
            <w:vAlign w:val="bottom"/>
            <w:hideMark/>
          </w:tcPr>
          <w:p w14:paraId="1EBA1307"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153</w:t>
            </w:r>
          </w:p>
        </w:tc>
        <w:tc>
          <w:tcPr>
            <w:tcW w:w="1276" w:type="dxa"/>
            <w:tcBorders>
              <w:top w:val="nil"/>
              <w:left w:val="nil"/>
              <w:bottom w:val="single" w:sz="4" w:space="0" w:color="auto"/>
              <w:right w:val="nil"/>
            </w:tcBorders>
            <w:shd w:val="clear" w:color="auto" w:fill="auto"/>
            <w:noWrap/>
            <w:vAlign w:val="bottom"/>
            <w:hideMark/>
          </w:tcPr>
          <w:p w14:paraId="6378AC56"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348</w:t>
            </w:r>
          </w:p>
        </w:tc>
        <w:tc>
          <w:tcPr>
            <w:tcW w:w="992" w:type="dxa"/>
            <w:tcBorders>
              <w:top w:val="nil"/>
              <w:left w:val="single" w:sz="4" w:space="0" w:color="auto"/>
              <w:bottom w:val="single" w:sz="4" w:space="0" w:color="auto"/>
              <w:right w:val="nil"/>
            </w:tcBorders>
            <w:shd w:val="clear" w:color="auto" w:fill="auto"/>
            <w:noWrap/>
            <w:vAlign w:val="bottom"/>
            <w:hideMark/>
          </w:tcPr>
          <w:p w14:paraId="2778534F"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29,12%</w:t>
            </w:r>
          </w:p>
        </w:tc>
      </w:tr>
      <w:tr w:rsidR="00160C4B" w:rsidRPr="00160C4B" w14:paraId="4CDF3A53" w14:textId="77777777" w:rsidTr="00F366B6">
        <w:trPr>
          <w:trHeight w:val="278"/>
        </w:trPr>
        <w:tc>
          <w:tcPr>
            <w:tcW w:w="1496" w:type="dxa"/>
            <w:tcBorders>
              <w:top w:val="nil"/>
              <w:left w:val="nil"/>
              <w:bottom w:val="single" w:sz="4" w:space="0" w:color="auto"/>
              <w:right w:val="single" w:sz="4" w:space="0" w:color="auto"/>
            </w:tcBorders>
            <w:shd w:val="clear" w:color="auto" w:fill="auto"/>
            <w:noWrap/>
            <w:vAlign w:val="bottom"/>
            <w:hideMark/>
          </w:tcPr>
          <w:p w14:paraId="594DA518" w14:textId="3F0A514D" w:rsidR="00160C4B" w:rsidRPr="00160C4B" w:rsidRDefault="00160C4B" w:rsidP="003C6000">
            <w:pPr>
              <w:ind w:left="-69"/>
              <w:rPr>
                <w:rFonts w:eastAsia="Times New Roman"/>
                <w:color w:val="000000"/>
                <w:sz w:val="20"/>
                <w:szCs w:val="20"/>
                <w:lang w:eastAsia="pt-BR"/>
              </w:rPr>
            </w:pPr>
            <w:r w:rsidRPr="00160C4B">
              <w:rPr>
                <w:rFonts w:eastAsia="Times New Roman"/>
                <w:color w:val="000000"/>
                <w:sz w:val="20"/>
                <w:szCs w:val="20"/>
                <w:lang w:eastAsia="pt-BR"/>
              </w:rPr>
              <w:t>Empresas de fora</w:t>
            </w:r>
          </w:p>
        </w:tc>
        <w:tc>
          <w:tcPr>
            <w:tcW w:w="1197" w:type="dxa"/>
            <w:tcBorders>
              <w:top w:val="nil"/>
              <w:left w:val="nil"/>
              <w:bottom w:val="single" w:sz="4" w:space="0" w:color="auto"/>
              <w:right w:val="single" w:sz="4" w:space="0" w:color="auto"/>
            </w:tcBorders>
            <w:shd w:val="clear" w:color="auto" w:fill="auto"/>
            <w:noWrap/>
            <w:vAlign w:val="bottom"/>
            <w:hideMark/>
          </w:tcPr>
          <w:p w14:paraId="12C367FB"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69</w:t>
            </w:r>
          </w:p>
        </w:tc>
        <w:tc>
          <w:tcPr>
            <w:tcW w:w="1134" w:type="dxa"/>
            <w:tcBorders>
              <w:top w:val="nil"/>
              <w:left w:val="nil"/>
              <w:bottom w:val="single" w:sz="4" w:space="0" w:color="auto"/>
              <w:right w:val="single" w:sz="4" w:space="0" w:color="auto"/>
            </w:tcBorders>
            <w:shd w:val="clear" w:color="auto" w:fill="auto"/>
            <w:noWrap/>
            <w:vAlign w:val="bottom"/>
            <w:hideMark/>
          </w:tcPr>
          <w:p w14:paraId="6D78CEFD"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121</w:t>
            </w:r>
          </w:p>
        </w:tc>
        <w:tc>
          <w:tcPr>
            <w:tcW w:w="1134" w:type="dxa"/>
            <w:tcBorders>
              <w:top w:val="nil"/>
              <w:left w:val="nil"/>
              <w:bottom w:val="single" w:sz="4" w:space="0" w:color="auto"/>
              <w:right w:val="single" w:sz="4" w:space="0" w:color="auto"/>
            </w:tcBorders>
            <w:shd w:val="clear" w:color="auto" w:fill="auto"/>
            <w:noWrap/>
            <w:vAlign w:val="bottom"/>
            <w:hideMark/>
          </w:tcPr>
          <w:p w14:paraId="4EA9B2B3"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146</w:t>
            </w:r>
          </w:p>
        </w:tc>
        <w:tc>
          <w:tcPr>
            <w:tcW w:w="992" w:type="dxa"/>
            <w:tcBorders>
              <w:top w:val="nil"/>
              <w:left w:val="nil"/>
              <w:bottom w:val="single" w:sz="4" w:space="0" w:color="auto"/>
              <w:right w:val="single" w:sz="4" w:space="0" w:color="auto"/>
            </w:tcBorders>
            <w:shd w:val="clear" w:color="auto" w:fill="auto"/>
            <w:noWrap/>
            <w:vAlign w:val="bottom"/>
            <w:hideMark/>
          </w:tcPr>
          <w:p w14:paraId="5F39615B"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115</w:t>
            </w:r>
          </w:p>
        </w:tc>
        <w:tc>
          <w:tcPr>
            <w:tcW w:w="1276" w:type="dxa"/>
            <w:tcBorders>
              <w:top w:val="nil"/>
              <w:left w:val="nil"/>
              <w:bottom w:val="single" w:sz="4" w:space="0" w:color="auto"/>
              <w:right w:val="nil"/>
            </w:tcBorders>
            <w:shd w:val="clear" w:color="auto" w:fill="auto"/>
            <w:noWrap/>
            <w:vAlign w:val="bottom"/>
            <w:hideMark/>
          </w:tcPr>
          <w:p w14:paraId="3758C237"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451</w:t>
            </w:r>
          </w:p>
        </w:tc>
        <w:tc>
          <w:tcPr>
            <w:tcW w:w="992" w:type="dxa"/>
            <w:tcBorders>
              <w:top w:val="nil"/>
              <w:left w:val="single" w:sz="4" w:space="0" w:color="auto"/>
              <w:bottom w:val="single" w:sz="4" w:space="0" w:color="auto"/>
              <w:right w:val="nil"/>
            </w:tcBorders>
            <w:shd w:val="clear" w:color="auto" w:fill="auto"/>
            <w:noWrap/>
            <w:vAlign w:val="bottom"/>
            <w:hideMark/>
          </w:tcPr>
          <w:p w14:paraId="631F8FDF" w14:textId="77777777" w:rsidR="00160C4B" w:rsidRPr="00160C4B" w:rsidRDefault="00160C4B" w:rsidP="00160C4B">
            <w:pPr>
              <w:jc w:val="center"/>
              <w:rPr>
                <w:rFonts w:eastAsia="Times New Roman"/>
                <w:color w:val="000000"/>
                <w:sz w:val="20"/>
                <w:szCs w:val="20"/>
                <w:lang w:eastAsia="pt-BR"/>
              </w:rPr>
            </w:pPr>
            <w:r w:rsidRPr="00160C4B">
              <w:rPr>
                <w:rFonts w:eastAsia="Times New Roman"/>
                <w:color w:val="000000"/>
                <w:sz w:val="20"/>
                <w:szCs w:val="20"/>
                <w:lang w:eastAsia="pt-BR"/>
              </w:rPr>
              <w:t>37,74%</w:t>
            </w:r>
          </w:p>
        </w:tc>
      </w:tr>
      <w:tr w:rsidR="00160C4B" w:rsidRPr="00160C4B" w14:paraId="125073DB" w14:textId="77777777" w:rsidTr="00F366B6">
        <w:trPr>
          <w:trHeight w:val="278"/>
        </w:trPr>
        <w:tc>
          <w:tcPr>
            <w:tcW w:w="1496" w:type="dxa"/>
            <w:tcBorders>
              <w:top w:val="nil"/>
              <w:left w:val="nil"/>
              <w:bottom w:val="single" w:sz="4" w:space="0" w:color="auto"/>
              <w:right w:val="single" w:sz="4" w:space="0" w:color="auto"/>
            </w:tcBorders>
            <w:shd w:val="clear" w:color="auto" w:fill="auto"/>
            <w:noWrap/>
            <w:vAlign w:val="bottom"/>
            <w:hideMark/>
          </w:tcPr>
          <w:p w14:paraId="2ACD539A" w14:textId="77777777" w:rsidR="00160C4B" w:rsidRPr="00160C4B" w:rsidRDefault="00160C4B" w:rsidP="003C6000">
            <w:pPr>
              <w:ind w:left="-69"/>
              <w:rPr>
                <w:rFonts w:eastAsia="Times New Roman"/>
                <w:b/>
                <w:bCs/>
                <w:color w:val="000000"/>
                <w:sz w:val="20"/>
                <w:szCs w:val="20"/>
                <w:lang w:eastAsia="pt-BR"/>
              </w:rPr>
            </w:pPr>
            <w:r w:rsidRPr="00160C4B">
              <w:rPr>
                <w:rFonts w:eastAsia="Times New Roman"/>
                <w:b/>
                <w:bCs/>
                <w:color w:val="000000"/>
                <w:sz w:val="20"/>
                <w:szCs w:val="20"/>
                <w:lang w:eastAsia="pt-BR"/>
              </w:rPr>
              <w:t>Total</w:t>
            </w:r>
          </w:p>
        </w:tc>
        <w:tc>
          <w:tcPr>
            <w:tcW w:w="1197" w:type="dxa"/>
            <w:tcBorders>
              <w:top w:val="nil"/>
              <w:left w:val="nil"/>
              <w:bottom w:val="single" w:sz="4" w:space="0" w:color="auto"/>
              <w:right w:val="single" w:sz="4" w:space="0" w:color="auto"/>
            </w:tcBorders>
            <w:shd w:val="clear" w:color="auto" w:fill="auto"/>
            <w:noWrap/>
            <w:vAlign w:val="bottom"/>
            <w:hideMark/>
          </w:tcPr>
          <w:p w14:paraId="220CFF6F" w14:textId="77777777" w:rsidR="00160C4B" w:rsidRPr="00160C4B" w:rsidRDefault="00160C4B" w:rsidP="00160C4B">
            <w:pPr>
              <w:jc w:val="center"/>
              <w:rPr>
                <w:rFonts w:eastAsia="Times New Roman"/>
                <w:b/>
                <w:bCs/>
                <w:color w:val="000000"/>
                <w:sz w:val="20"/>
                <w:szCs w:val="20"/>
                <w:lang w:eastAsia="pt-BR"/>
              </w:rPr>
            </w:pPr>
            <w:r w:rsidRPr="00160C4B">
              <w:rPr>
                <w:rFonts w:eastAsia="Times New Roman"/>
                <w:b/>
                <w:bCs/>
                <w:color w:val="000000"/>
                <w:sz w:val="20"/>
                <w:szCs w:val="20"/>
                <w:lang w:eastAsia="pt-BR"/>
              </w:rPr>
              <w:t>239</w:t>
            </w:r>
          </w:p>
        </w:tc>
        <w:tc>
          <w:tcPr>
            <w:tcW w:w="1134" w:type="dxa"/>
            <w:tcBorders>
              <w:top w:val="nil"/>
              <w:left w:val="nil"/>
              <w:bottom w:val="single" w:sz="4" w:space="0" w:color="auto"/>
              <w:right w:val="single" w:sz="4" w:space="0" w:color="auto"/>
            </w:tcBorders>
            <w:shd w:val="clear" w:color="auto" w:fill="auto"/>
            <w:noWrap/>
            <w:vAlign w:val="bottom"/>
            <w:hideMark/>
          </w:tcPr>
          <w:p w14:paraId="67AFF98C" w14:textId="77777777" w:rsidR="00160C4B" w:rsidRPr="00160C4B" w:rsidRDefault="00160C4B" w:rsidP="00160C4B">
            <w:pPr>
              <w:jc w:val="center"/>
              <w:rPr>
                <w:rFonts w:eastAsia="Times New Roman"/>
                <w:b/>
                <w:bCs/>
                <w:color w:val="000000"/>
                <w:sz w:val="20"/>
                <w:szCs w:val="20"/>
                <w:lang w:eastAsia="pt-BR"/>
              </w:rPr>
            </w:pPr>
            <w:r w:rsidRPr="00160C4B">
              <w:rPr>
                <w:rFonts w:eastAsia="Times New Roman"/>
                <w:b/>
                <w:bCs/>
                <w:color w:val="000000"/>
                <w:sz w:val="20"/>
                <w:szCs w:val="20"/>
                <w:lang w:eastAsia="pt-BR"/>
              </w:rPr>
              <w:t>277</w:t>
            </w:r>
          </w:p>
        </w:tc>
        <w:tc>
          <w:tcPr>
            <w:tcW w:w="1134" w:type="dxa"/>
            <w:tcBorders>
              <w:top w:val="nil"/>
              <w:left w:val="nil"/>
              <w:bottom w:val="single" w:sz="4" w:space="0" w:color="auto"/>
              <w:right w:val="single" w:sz="4" w:space="0" w:color="auto"/>
            </w:tcBorders>
            <w:shd w:val="clear" w:color="auto" w:fill="auto"/>
            <w:noWrap/>
            <w:vAlign w:val="bottom"/>
            <w:hideMark/>
          </w:tcPr>
          <w:p w14:paraId="650560D9" w14:textId="77777777" w:rsidR="00160C4B" w:rsidRPr="00160C4B" w:rsidRDefault="00160C4B" w:rsidP="00160C4B">
            <w:pPr>
              <w:jc w:val="center"/>
              <w:rPr>
                <w:rFonts w:eastAsia="Times New Roman"/>
                <w:b/>
                <w:bCs/>
                <w:color w:val="000000"/>
                <w:sz w:val="20"/>
                <w:szCs w:val="20"/>
                <w:lang w:eastAsia="pt-BR"/>
              </w:rPr>
            </w:pPr>
            <w:r w:rsidRPr="00160C4B">
              <w:rPr>
                <w:rFonts w:eastAsia="Times New Roman"/>
                <w:b/>
                <w:bCs/>
                <w:color w:val="000000"/>
                <w:sz w:val="20"/>
                <w:szCs w:val="20"/>
                <w:lang w:eastAsia="pt-BR"/>
              </w:rPr>
              <w:t>321</w:t>
            </w:r>
          </w:p>
        </w:tc>
        <w:tc>
          <w:tcPr>
            <w:tcW w:w="992" w:type="dxa"/>
            <w:tcBorders>
              <w:top w:val="nil"/>
              <w:left w:val="nil"/>
              <w:bottom w:val="single" w:sz="4" w:space="0" w:color="auto"/>
              <w:right w:val="single" w:sz="4" w:space="0" w:color="auto"/>
            </w:tcBorders>
            <w:shd w:val="clear" w:color="auto" w:fill="auto"/>
            <w:noWrap/>
            <w:vAlign w:val="bottom"/>
            <w:hideMark/>
          </w:tcPr>
          <w:p w14:paraId="1A6161BD" w14:textId="77777777" w:rsidR="00160C4B" w:rsidRPr="00160C4B" w:rsidRDefault="00160C4B" w:rsidP="00160C4B">
            <w:pPr>
              <w:jc w:val="center"/>
              <w:rPr>
                <w:rFonts w:eastAsia="Times New Roman"/>
                <w:b/>
                <w:bCs/>
                <w:color w:val="000000"/>
                <w:sz w:val="20"/>
                <w:szCs w:val="20"/>
                <w:lang w:eastAsia="pt-BR"/>
              </w:rPr>
            </w:pPr>
            <w:r w:rsidRPr="00160C4B">
              <w:rPr>
                <w:rFonts w:eastAsia="Times New Roman"/>
                <w:b/>
                <w:bCs/>
                <w:color w:val="000000"/>
                <w:sz w:val="20"/>
                <w:szCs w:val="20"/>
                <w:lang w:eastAsia="pt-BR"/>
              </w:rPr>
              <w:t>358</w:t>
            </w:r>
          </w:p>
        </w:tc>
        <w:tc>
          <w:tcPr>
            <w:tcW w:w="1276" w:type="dxa"/>
            <w:tcBorders>
              <w:top w:val="nil"/>
              <w:left w:val="nil"/>
              <w:bottom w:val="single" w:sz="4" w:space="0" w:color="auto"/>
              <w:right w:val="nil"/>
            </w:tcBorders>
            <w:shd w:val="clear" w:color="auto" w:fill="auto"/>
            <w:noWrap/>
            <w:vAlign w:val="bottom"/>
            <w:hideMark/>
          </w:tcPr>
          <w:p w14:paraId="24EF61A2" w14:textId="77777777" w:rsidR="00160C4B" w:rsidRPr="00160C4B" w:rsidRDefault="00160C4B" w:rsidP="00160C4B">
            <w:pPr>
              <w:jc w:val="center"/>
              <w:rPr>
                <w:rFonts w:eastAsia="Times New Roman"/>
                <w:b/>
                <w:bCs/>
                <w:color w:val="000000"/>
                <w:sz w:val="20"/>
                <w:szCs w:val="20"/>
                <w:lang w:eastAsia="pt-BR"/>
              </w:rPr>
            </w:pPr>
            <w:r w:rsidRPr="00160C4B">
              <w:rPr>
                <w:rFonts w:eastAsia="Times New Roman"/>
                <w:b/>
                <w:bCs/>
                <w:color w:val="000000"/>
                <w:sz w:val="20"/>
                <w:szCs w:val="20"/>
                <w:lang w:eastAsia="pt-BR"/>
              </w:rPr>
              <w:t>1195</w:t>
            </w:r>
          </w:p>
        </w:tc>
        <w:tc>
          <w:tcPr>
            <w:tcW w:w="992" w:type="dxa"/>
            <w:tcBorders>
              <w:top w:val="nil"/>
              <w:left w:val="single" w:sz="4" w:space="0" w:color="auto"/>
              <w:bottom w:val="single" w:sz="4" w:space="0" w:color="auto"/>
              <w:right w:val="nil"/>
            </w:tcBorders>
            <w:shd w:val="clear" w:color="auto" w:fill="auto"/>
            <w:noWrap/>
            <w:vAlign w:val="bottom"/>
            <w:hideMark/>
          </w:tcPr>
          <w:p w14:paraId="0E8152C1" w14:textId="77777777" w:rsidR="00160C4B" w:rsidRPr="00160C4B" w:rsidRDefault="00160C4B" w:rsidP="00160C4B">
            <w:pPr>
              <w:jc w:val="center"/>
              <w:rPr>
                <w:rFonts w:eastAsia="Times New Roman"/>
                <w:b/>
                <w:bCs/>
                <w:color w:val="000000"/>
                <w:sz w:val="20"/>
                <w:szCs w:val="20"/>
                <w:lang w:eastAsia="pt-BR"/>
              </w:rPr>
            </w:pPr>
            <w:r w:rsidRPr="00160C4B">
              <w:rPr>
                <w:rFonts w:eastAsia="Times New Roman"/>
                <w:b/>
                <w:bCs/>
                <w:color w:val="000000"/>
                <w:sz w:val="20"/>
                <w:szCs w:val="20"/>
                <w:lang w:eastAsia="pt-BR"/>
              </w:rPr>
              <w:t>100,00%</w:t>
            </w:r>
          </w:p>
        </w:tc>
      </w:tr>
    </w:tbl>
    <w:p w14:paraId="7FAEECE5" w14:textId="778A8C0F" w:rsidR="00165741" w:rsidRDefault="00F366B6" w:rsidP="00F366B6">
      <w:pPr>
        <w:spacing w:after="160" w:line="259" w:lineRule="auto"/>
        <w:ind w:left="284"/>
        <w:rPr>
          <w:sz w:val="20"/>
          <w:szCs w:val="20"/>
        </w:rPr>
      </w:pPr>
      <w:r>
        <w:rPr>
          <w:sz w:val="20"/>
          <w:szCs w:val="20"/>
        </w:rPr>
        <w:t>Fonte: Dados da pesquisa (2021)</w:t>
      </w:r>
    </w:p>
    <w:p w14:paraId="5E4DAA6A" w14:textId="77777777" w:rsidR="00F366B6" w:rsidRDefault="00F366B6" w:rsidP="007766F4">
      <w:pPr>
        <w:spacing w:after="160"/>
        <w:ind w:left="284"/>
        <w:rPr>
          <w:sz w:val="20"/>
          <w:szCs w:val="20"/>
        </w:rPr>
      </w:pPr>
    </w:p>
    <w:p w14:paraId="52FE8A34" w14:textId="4E669861" w:rsidR="004E44B9" w:rsidRDefault="007766F4" w:rsidP="007766F4">
      <w:pPr>
        <w:pStyle w:val="UnidaviTexto-Espao15"/>
      </w:pPr>
      <w:r>
        <w:t>De acordo com a Tabela 22 identificou-se que a</w:t>
      </w:r>
      <w:r w:rsidR="00160C4B">
        <w:t>o longo dos quatro anos obteve-se um total</w:t>
      </w:r>
      <w:r w:rsidR="00165741">
        <w:t xml:space="preserve"> de 1195</w:t>
      </w:r>
      <w:r w:rsidR="00160C4B">
        <w:t xml:space="preserve"> parti</w:t>
      </w:r>
      <w:r w:rsidR="00165741">
        <w:t>cipações de empresas. Dessas participações 396</w:t>
      </w:r>
      <w:r w:rsidR="00160C4B">
        <w:t xml:space="preserve"> foram de empresas do município de Taió. As participações de empresas do Alt</w:t>
      </w:r>
      <w:r w:rsidR="00165741">
        <w:t>o Vale do Itajaí totalizaram 348</w:t>
      </w:r>
      <w:r w:rsidR="00160C4B">
        <w:t>. Já o total de participações de empresas de fora do Alto Vale do Itajaí</w:t>
      </w:r>
      <w:r w:rsidR="00165741">
        <w:t xml:space="preserve"> somaram 451</w:t>
      </w:r>
      <w:r w:rsidR="00160C4B">
        <w:t xml:space="preserve"> participações.</w:t>
      </w:r>
    </w:p>
    <w:p w14:paraId="50F0AA36" w14:textId="5B341953" w:rsidR="00CB1424" w:rsidRDefault="00CB1424" w:rsidP="007766F4">
      <w:pPr>
        <w:pStyle w:val="UnidaviTexto-Espao15"/>
      </w:pPr>
    </w:p>
    <w:p w14:paraId="78BC5B77" w14:textId="77777777" w:rsidR="00CB1424" w:rsidRDefault="00CB1424" w:rsidP="007766F4">
      <w:pPr>
        <w:pStyle w:val="UnidaviTexto-Espao15"/>
      </w:pPr>
    </w:p>
    <w:p w14:paraId="7C9C7BE7" w14:textId="152535BD" w:rsidR="004E44B9" w:rsidRPr="00F366B6" w:rsidRDefault="004E44B9" w:rsidP="00F366B6">
      <w:pPr>
        <w:pStyle w:val="UnidaviTexto-Espao15"/>
        <w:spacing w:line="240" w:lineRule="auto"/>
        <w:ind w:left="284" w:firstLine="0"/>
        <w:rPr>
          <w:b/>
        </w:rPr>
      </w:pPr>
      <w:r w:rsidRPr="00F366B6">
        <w:rPr>
          <w:b/>
          <w:sz w:val="20"/>
        </w:rPr>
        <w:lastRenderedPageBreak/>
        <w:t>Tabe</w:t>
      </w:r>
      <w:r w:rsidR="00160C4B" w:rsidRPr="00F366B6">
        <w:rPr>
          <w:b/>
          <w:sz w:val="20"/>
        </w:rPr>
        <w:t>la 23</w:t>
      </w:r>
      <w:r w:rsidRPr="00F366B6">
        <w:rPr>
          <w:b/>
          <w:sz w:val="20"/>
        </w:rPr>
        <w:t xml:space="preserve"> – Quantid</w:t>
      </w:r>
      <w:r w:rsidR="00160C4B" w:rsidRPr="00F366B6">
        <w:rPr>
          <w:b/>
          <w:sz w:val="20"/>
        </w:rPr>
        <w:t xml:space="preserve">ade de empresas participantes </w:t>
      </w:r>
      <w:r w:rsidRPr="00F366B6">
        <w:rPr>
          <w:b/>
          <w:sz w:val="20"/>
        </w:rPr>
        <w:t>vencedoras por região</w:t>
      </w:r>
      <w:r w:rsidR="0083019C" w:rsidRPr="00F366B6">
        <w:rPr>
          <w:b/>
          <w:sz w:val="20"/>
        </w:rPr>
        <w:t xml:space="preserve"> – 2017 a 2020</w:t>
      </w:r>
    </w:p>
    <w:tbl>
      <w:tblPr>
        <w:tblW w:w="8221" w:type="dxa"/>
        <w:tblInd w:w="284" w:type="dxa"/>
        <w:tblCellMar>
          <w:left w:w="70" w:type="dxa"/>
          <w:right w:w="70" w:type="dxa"/>
        </w:tblCellMar>
        <w:tblLook w:val="04A0" w:firstRow="1" w:lastRow="0" w:firstColumn="1" w:lastColumn="0" w:noHBand="0" w:noVBand="1"/>
      </w:tblPr>
      <w:tblGrid>
        <w:gridCol w:w="2229"/>
        <w:gridCol w:w="911"/>
        <w:gridCol w:w="1044"/>
        <w:gridCol w:w="1044"/>
        <w:gridCol w:w="1065"/>
        <w:gridCol w:w="1000"/>
        <w:gridCol w:w="928"/>
      </w:tblGrid>
      <w:tr w:rsidR="00CB7CBC" w:rsidRPr="009F26C0" w14:paraId="43C8C8E0" w14:textId="77777777" w:rsidTr="00F366B6">
        <w:trPr>
          <w:trHeight w:val="339"/>
        </w:trPr>
        <w:tc>
          <w:tcPr>
            <w:tcW w:w="2229" w:type="dxa"/>
            <w:tcBorders>
              <w:top w:val="single" w:sz="4" w:space="0" w:color="auto"/>
              <w:left w:val="nil"/>
              <w:bottom w:val="single" w:sz="4" w:space="0" w:color="auto"/>
              <w:right w:val="single" w:sz="4" w:space="0" w:color="auto"/>
            </w:tcBorders>
            <w:shd w:val="clear" w:color="auto" w:fill="auto"/>
            <w:noWrap/>
            <w:vAlign w:val="bottom"/>
            <w:hideMark/>
          </w:tcPr>
          <w:p w14:paraId="148BFFF1" w14:textId="77777777" w:rsidR="009F26C0" w:rsidRPr="009F26C0" w:rsidRDefault="009F26C0" w:rsidP="003C6000">
            <w:pPr>
              <w:ind w:left="-69"/>
              <w:rPr>
                <w:rFonts w:eastAsia="Times New Roman"/>
                <w:b/>
                <w:bCs/>
                <w:color w:val="000000"/>
                <w:sz w:val="20"/>
                <w:szCs w:val="20"/>
                <w:lang w:eastAsia="pt-BR"/>
              </w:rPr>
            </w:pPr>
            <w:r w:rsidRPr="009F26C0">
              <w:rPr>
                <w:rFonts w:eastAsia="Times New Roman"/>
                <w:b/>
                <w:bCs/>
                <w:color w:val="000000"/>
                <w:sz w:val="20"/>
                <w:szCs w:val="20"/>
                <w:lang w:eastAsia="pt-BR"/>
              </w:rPr>
              <w:t>Vencedoras</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14:paraId="59E674ED" w14:textId="77777777" w:rsidR="009F26C0" w:rsidRPr="009F26C0" w:rsidRDefault="009F26C0" w:rsidP="009F26C0">
            <w:pPr>
              <w:jc w:val="center"/>
              <w:rPr>
                <w:rFonts w:eastAsia="Times New Roman"/>
                <w:b/>
                <w:bCs/>
                <w:color w:val="000000"/>
                <w:sz w:val="20"/>
                <w:szCs w:val="20"/>
                <w:lang w:eastAsia="pt-BR"/>
              </w:rPr>
            </w:pPr>
            <w:r w:rsidRPr="009F26C0">
              <w:rPr>
                <w:rFonts w:eastAsia="Times New Roman"/>
                <w:b/>
                <w:bCs/>
                <w:color w:val="000000"/>
                <w:sz w:val="20"/>
                <w:szCs w:val="20"/>
                <w:lang w:eastAsia="pt-BR"/>
              </w:rPr>
              <w:t>2017</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792080A9" w14:textId="77777777" w:rsidR="009F26C0" w:rsidRPr="009F26C0" w:rsidRDefault="009F26C0" w:rsidP="009F26C0">
            <w:pPr>
              <w:jc w:val="center"/>
              <w:rPr>
                <w:rFonts w:eastAsia="Times New Roman"/>
                <w:b/>
                <w:bCs/>
                <w:color w:val="000000"/>
                <w:sz w:val="20"/>
                <w:szCs w:val="20"/>
                <w:lang w:eastAsia="pt-BR"/>
              </w:rPr>
            </w:pPr>
            <w:r w:rsidRPr="009F26C0">
              <w:rPr>
                <w:rFonts w:eastAsia="Times New Roman"/>
                <w:b/>
                <w:bCs/>
                <w:color w:val="000000"/>
                <w:sz w:val="20"/>
                <w:szCs w:val="20"/>
                <w:lang w:eastAsia="pt-BR"/>
              </w:rPr>
              <w:t>2018</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6EF4C80E" w14:textId="77777777" w:rsidR="009F26C0" w:rsidRPr="009F26C0" w:rsidRDefault="009F26C0" w:rsidP="009F26C0">
            <w:pPr>
              <w:jc w:val="center"/>
              <w:rPr>
                <w:rFonts w:eastAsia="Times New Roman"/>
                <w:b/>
                <w:bCs/>
                <w:color w:val="000000"/>
                <w:sz w:val="20"/>
                <w:szCs w:val="20"/>
                <w:lang w:eastAsia="pt-BR"/>
              </w:rPr>
            </w:pPr>
            <w:r w:rsidRPr="009F26C0">
              <w:rPr>
                <w:rFonts w:eastAsia="Times New Roman"/>
                <w:b/>
                <w:bCs/>
                <w:color w:val="000000"/>
                <w:sz w:val="20"/>
                <w:szCs w:val="20"/>
                <w:lang w:eastAsia="pt-BR"/>
              </w:rPr>
              <w:t>2019</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3FABBA3F" w14:textId="77777777" w:rsidR="009F26C0" w:rsidRPr="009F26C0" w:rsidRDefault="009F26C0" w:rsidP="009F26C0">
            <w:pPr>
              <w:jc w:val="center"/>
              <w:rPr>
                <w:rFonts w:eastAsia="Times New Roman"/>
                <w:b/>
                <w:bCs/>
                <w:color w:val="000000"/>
                <w:sz w:val="20"/>
                <w:szCs w:val="20"/>
                <w:lang w:eastAsia="pt-BR"/>
              </w:rPr>
            </w:pPr>
            <w:r w:rsidRPr="009F26C0">
              <w:rPr>
                <w:rFonts w:eastAsia="Times New Roman"/>
                <w:b/>
                <w:bCs/>
                <w:color w:val="000000"/>
                <w:sz w:val="20"/>
                <w:szCs w:val="20"/>
                <w:lang w:eastAsia="pt-BR"/>
              </w:rPr>
              <w:t>2020</w:t>
            </w:r>
          </w:p>
        </w:tc>
        <w:tc>
          <w:tcPr>
            <w:tcW w:w="1000" w:type="dxa"/>
            <w:tcBorders>
              <w:top w:val="single" w:sz="4" w:space="0" w:color="auto"/>
              <w:left w:val="nil"/>
              <w:bottom w:val="single" w:sz="4" w:space="0" w:color="auto"/>
              <w:right w:val="nil"/>
            </w:tcBorders>
            <w:shd w:val="clear" w:color="auto" w:fill="auto"/>
            <w:noWrap/>
            <w:vAlign w:val="bottom"/>
            <w:hideMark/>
          </w:tcPr>
          <w:p w14:paraId="3A14D1C9" w14:textId="77777777" w:rsidR="009F26C0" w:rsidRPr="009F26C0" w:rsidRDefault="009F26C0" w:rsidP="009F26C0">
            <w:pPr>
              <w:jc w:val="center"/>
              <w:rPr>
                <w:rFonts w:eastAsia="Times New Roman"/>
                <w:b/>
                <w:bCs/>
                <w:color w:val="000000"/>
                <w:sz w:val="20"/>
                <w:szCs w:val="20"/>
                <w:lang w:eastAsia="pt-BR"/>
              </w:rPr>
            </w:pPr>
            <w:r w:rsidRPr="009F26C0">
              <w:rPr>
                <w:rFonts w:eastAsia="Times New Roman"/>
                <w:b/>
                <w:bCs/>
                <w:color w:val="000000"/>
                <w:sz w:val="20"/>
                <w:szCs w:val="20"/>
                <w:lang w:eastAsia="pt-BR"/>
              </w:rPr>
              <w:t>Total</w:t>
            </w:r>
          </w:p>
        </w:tc>
        <w:tc>
          <w:tcPr>
            <w:tcW w:w="928" w:type="dxa"/>
            <w:tcBorders>
              <w:top w:val="single" w:sz="4" w:space="0" w:color="auto"/>
              <w:left w:val="single" w:sz="4" w:space="0" w:color="auto"/>
              <w:bottom w:val="single" w:sz="4" w:space="0" w:color="auto"/>
              <w:right w:val="nil"/>
            </w:tcBorders>
            <w:shd w:val="clear" w:color="auto" w:fill="auto"/>
            <w:noWrap/>
            <w:vAlign w:val="bottom"/>
            <w:hideMark/>
          </w:tcPr>
          <w:p w14:paraId="4BC0F020" w14:textId="77777777" w:rsidR="009F26C0" w:rsidRPr="009F26C0" w:rsidRDefault="009F26C0" w:rsidP="009F26C0">
            <w:pPr>
              <w:jc w:val="center"/>
              <w:rPr>
                <w:rFonts w:eastAsia="Times New Roman"/>
                <w:b/>
                <w:bCs/>
                <w:color w:val="000000"/>
                <w:sz w:val="20"/>
                <w:szCs w:val="20"/>
                <w:lang w:eastAsia="pt-BR"/>
              </w:rPr>
            </w:pPr>
            <w:r w:rsidRPr="009F26C0">
              <w:rPr>
                <w:rFonts w:eastAsia="Times New Roman"/>
                <w:b/>
                <w:bCs/>
                <w:color w:val="000000"/>
                <w:sz w:val="20"/>
                <w:szCs w:val="20"/>
                <w:lang w:eastAsia="pt-BR"/>
              </w:rPr>
              <w:t>%</w:t>
            </w:r>
          </w:p>
        </w:tc>
      </w:tr>
      <w:tr w:rsidR="00CB7CBC" w:rsidRPr="009F26C0" w14:paraId="1770587A" w14:textId="77777777" w:rsidTr="00F366B6">
        <w:trPr>
          <w:trHeight w:val="339"/>
        </w:trPr>
        <w:tc>
          <w:tcPr>
            <w:tcW w:w="2229" w:type="dxa"/>
            <w:tcBorders>
              <w:top w:val="nil"/>
              <w:left w:val="nil"/>
              <w:bottom w:val="single" w:sz="4" w:space="0" w:color="auto"/>
              <w:right w:val="single" w:sz="4" w:space="0" w:color="auto"/>
            </w:tcBorders>
            <w:shd w:val="clear" w:color="auto" w:fill="auto"/>
            <w:noWrap/>
            <w:vAlign w:val="bottom"/>
            <w:hideMark/>
          </w:tcPr>
          <w:p w14:paraId="08CF1DA2" w14:textId="77777777" w:rsidR="009F26C0" w:rsidRPr="009F26C0" w:rsidRDefault="009F26C0" w:rsidP="003C6000">
            <w:pPr>
              <w:ind w:left="-69"/>
              <w:rPr>
                <w:rFonts w:eastAsia="Times New Roman"/>
                <w:color w:val="000000"/>
                <w:sz w:val="20"/>
                <w:szCs w:val="20"/>
                <w:lang w:eastAsia="pt-BR"/>
              </w:rPr>
            </w:pPr>
            <w:r w:rsidRPr="009F26C0">
              <w:rPr>
                <w:rFonts w:eastAsia="Times New Roman"/>
                <w:color w:val="000000"/>
                <w:sz w:val="20"/>
                <w:szCs w:val="20"/>
                <w:lang w:eastAsia="pt-BR"/>
              </w:rPr>
              <w:t>Empresas de Taió</w:t>
            </w:r>
          </w:p>
        </w:tc>
        <w:tc>
          <w:tcPr>
            <w:tcW w:w="911" w:type="dxa"/>
            <w:tcBorders>
              <w:top w:val="nil"/>
              <w:left w:val="nil"/>
              <w:bottom w:val="single" w:sz="4" w:space="0" w:color="auto"/>
              <w:right w:val="single" w:sz="4" w:space="0" w:color="auto"/>
            </w:tcBorders>
            <w:shd w:val="clear" w:color="auto" w:fill="auto"/>
            <w:noWrap/>
            <w:vAlign w:val="bottom"/>
            <w:hideMark/>
          </w:tcPr>
          <w:p w14:paraId="0CB084AE"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93</w:t>
            </w:r>
          </w:p>
        </w:tc>
        <w:tc>
          <w:tcPr>
            <w:tcW w:w="1044" w:type="dxa"/>
            <w:tcBorders>
              <w:top w:val="nil"/>
              <w:left w:val="nil"/>
              <w:bottom w:val="single" w:sz="4" w:space="0" w:color="auto"/>
              <w:right w:val="single" w:sz="4" w:space="0" w:color="auto"/>
            </w:tcBorders>
            <w:shd w:val="clear" w:color="auto" w:fill="auto"/>
            <w:noWrap/>
            <w:vAlign w:val="bottom"/>
            <w:hideMark/>
          </w:tcPr>
          <w:p w14:paraId="6ADEBCDB"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70</w:t>
            </w:r>
          </w:p>
        </w:tc>
        <w:tc>
          <w:tcPr>
            <w:tcW w:w="1044" w:type="dxa"/>
            <w:tcBorders>
              <w:top w:val="nil"/>
              <w:left w:val="nil"/>
              <w:bottom w:val="single" w:sz="4" w:space="0" w:color="auto"/>
              <w:right w:val="single" w:sz="4" w:space="0" w:color="auto"/>
            </w:tcBorders>
            <w:shd w:val="clear" w:color="auto" w:fill="auto"/>
            <w:noWrap/>
            <w:vAlign w:val="bottom"/>
            <w:hideMark/>
          </w:tcPr>
          <w:p w14:paraId="7E001FDB"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84</w:t>
            </w:r>
          </w:p>
        </w:tc>
        <w:tc>
          <w:tcPr>
            <w:tcW w:w="1065" w:type="dxa"/>
            <w:tcBorders>
              <w:top w:val="nil"/>
              <w:left w:val="nil"/>
              <w:bottom w:val="single" w:sz="4" w:space="0" w:color="auto"/>
              <w:right w:val="single" w:sz="4" w:space="0" w:color="auto"/>
            </w:tcBorders>
            <w:shd w:val="clear" w:color="auto" w:fill="auto"/>
            <w:noWrap/>
            <w:vAlign w:val="bottom"/>
            <w:hideMark/>
          </w:tcPr>
          <w:p w14:paraId="65D30FF7"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62</w:t>
            </w:r>
          </w:p>
        </w:tc>
        <w:tc>
          <w:tcPr>
            <w:tcW w:w="1000" w:type="dxa"/>
            <w:tcBorders>
              <w:top w:val="nil"/>
              <w:left w:val="nil"/>
              <w:bottom w:val="single" w:sz="4" w:space="0" w:color="auto"/>
              <w:right w:val="nil"/>
            </w:tcBorders>
            <w:shd w:val="clear" w:color="auto" w:fill="auto"/>
            <w:noWrap/>
            <w:vAlign w:val="bottom"/>
            <w:hideMark/>
          </w:tcPr>
          <w:p w14:paraId="6D1856DC"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309</w:t>
            </w:r>
          </w:p>
        </w:tc>
        <w:tc>
          <w:tcPr>
            <w:tcW w:w="928" w:type="dxa"/>
            <w:tcBorders>
              <w:top w:val="nil"/>
              <w:left w:val="single" w:sz="4" w:space="0" w:color="auto"/>
              <w:bottom w:val="single" w:sz="4" w:space="0" w:color="auto"/>
              <w:right w:val="nil"/>
            </w:tcBorders>
            <w:shd w:val="clear" w:color="auto" w:fill="auto"/>
            <w:noWrap/>
            <w:vAlign w:val="bottom"/>
            <w:hideMark/>
          </w:tcPr>
          <w:p w14:paraId="59C937D9"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36,35%</w:t>
            </w:r>
          </w:p>
        </w:tc>
      </w:tr>
      <w:tr w:rsidR="00CB7CBC" w:rsidRPr="009F26C0" w14:paraId="7259ECD4" w14:textId="77777777" w:rsidTr="00F366B6">
        <w:trPr>
          <w:trHeight w:val="339"/>
        </w:trPr>
        <w:tc>
          <w:tcPr>
            <w:tcW w:w="2229" w:type="dxa"/>
            <w:tcBorders>
              <w:top w:val="single" w:sz="4" w:space="0" w:color="auto"/>
              <w:left w:val="nil"/>
              <w:bottom w:val="single" w:sz="4" w:space="0" w:color="auto"/>
              <w:right w:val="single" w:sz="4" w:space="0" w:color="auto"/>
            </w:tcBorders>
            <w:shd w:val="clear" w:color="auto" w:fill="auto"/>
            <w:noWrap/>
            <w:vAlign w:val="bottom"/>
            <w:hideMark/>
          </w:tcPr>
          <w:p w14:paraId="4BFEEF3A" w14:textId="77777777" w:rsidR="009F26C0" w:rsidRPr="009F26C0" w:rsidRDefault="009F26C0" w:rsidP="003C6000">
            <w:pPr>
              <w:ind w:left="-69"/>
              <w:rPr>
                <w:rFonts w:eastAsia="Times New Roman"/>
                <w:color w:val="000000"/>
                <w:sz w:val="20"/>
                <w:szCs w:val="20"/>
                <w:lang w:eastAsia="pt-BR"/>
              </w:rPr>
            </w:pPr>
            <w:r w:rsidRPr="009F26C0">
              <w:rPr>
                <w:rFonts w:eastAsia="Times New Roman"/>
                <w:color w:val="000000"/>
                <w:sz w:val="20"/>
                <w:szCs w:val="20"/>
                <w:lang w:eastAsia="pt-BR"/>
              </w:rPr>
              <w:t>Empresas do Alto Vale</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14:paraId="0E2C52AC"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49</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556C58B7"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41</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38944237"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54</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2ABD1ABD"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50</w:t>
            </w:r>
          </w:p>
        </w:tc>
        <w:tc>
          <w:tcPr>
            <w:tcW w:w="1000" w:type="dxa"/>
            <w:tcBorders>
              <w:top w:val="single" w:sz="4" w:space="0" w:color="auto"/>
              <w:left w:val="nil"/>
              <w:bottom w:val="single" w:sz="4" w:space="0" w:color="auto"/>
              <w:right w:val="nil"/>
            </w:tcBorders>
            <w:shd w:val="clear" w:color="auto" w:fill="auto"/>
            <w:noWrap/>
            <w:vAlign w:val="bottom"/>
            <w:hideMark/>
          </w:tcPr>
          <w:p w14:paraId="33B78792"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194</w:t>
            </w:r>
          </w:p>
        </w:tc>
        <w:tc>
          <w:tcPr>
            <w:tcW w:w="928" w:type="dxa"/>
            <w:tcBorders>
              <w:top w:val="single" w:sz="4" w:space="0" w:color="auto"/>
              <w:left w:val="single" w:sz="4" w:space="0" w:color="auto"/>
              <w:bottom w:val="single" w:sz="4" w:space="0" w:color="auto"/>
              <w:right w:val="nil"/>
            </w:tcBorders>
            <w:shd w:val="clear" w:color="auto" w:fill="auto"/>
            <w:noWrap/>
            <w:vAlign w:val="bottom"/>
            <w:hideMark/>
          </w:tcPr>
          <w:p w14:paraId="22D8CDBF"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22,82%</w:t>
            </w:r>
          </w:p>
        </w:tc>
      </w:tr>
      <w:tr w:rsidR="00CB7CBC" w:rsidRPr="009F26C0" w14:paraId="4BDC9690" w14:textId="77777777" w:rsidTr="00F366B6">
        <w:trPr>
          <w:trHeight w:val="339"/>
        </w:trPr>
        <w:tc>
          <w:tcPr>
            <w:tcW w:w="2229" w:type="dxa"/>
            <w:tcBorders>
              <w:top w:val="nil"/>
              <w:left w:val="nil"/>
              <w:bottom w:val="single" w:sz="4" w:space="0" w:color="auto"/>
              <w:right w:val="single" w:sz="4" w:space="0" w:color="auto"/>
            </w:tcBorders>
            <w:shd w:val="clear" w:color="auto" w:fill="auto"/>
            <w:noWrap/>
            <w:vAlign w:val="bottom"/>
            <w:hideMark/>
          </w:tcPr>
          <w:p w14:paraId="7EDF760D" w14:textId="14298E42" w:rsidR="009F26C0" w:rsidRPr="009F26C0" w:rsidRDefault="009F26C0" w:rsidP="00EF0D90">
            <w:pPr>
              <w:ind w:left="-69"/>
              <w:rPr>
                <w:rFonts w:eastAsia="Times New Roman"/>
                <w:color w:val="000000"/>
                <w:sz w:val="20"/>
                <w:szCs w:val="20"/>
                <w:lang w:eastAsia="pt-BR"/>
              </w:rPr>
            </w:pPr>
            <w:r w:rsidRPr="009F26C0">
              <w:rPr>
                <w:rFonts w:eastAsia="Times New Roman"/>
                <w:color w:val="000000"/>
                <w:sz w:val="20"/>
                <w:szCs w:val="20"/>
                <w:lang w:eastAsia="pt-BR"/>
              </w:rPr>
              <w:t>Empresas de fora</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14:paraId="5DC0C66F"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69</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478977F3"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87</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7FCB8721"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106</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3E0C05BC"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85</w:t>
            </w:r>
          </w:p>
        </w:tc>
        <w:tc>
          <w:tcPr>
            <w:tcW w:w="1000" w:type="dxa"/>
            <w:tcBorders>
              <w:top w:val="single" w:sz="4" w:space="0" w:color="auto"/>
              <w:left w:val="nil"/>
              <w:bottom w:val="single" w:sz="4" w:space="0" w:color="auto"/>
              <w:right w:val="nil"/>
            </w:tcBorders>
            <w:shd w:val="clear" w:color="auto" w:fill="auto"/>
            <w:noWrap/>
            <w:vAlign w:val="bottom"/>
            <w:hideMark/>
          </w:tcPr>
          <w:p w14:paraId="6E44C3CD"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347</w:t>
            </w:r>
          </w:p>
        </w:tc>
        <w:tc>
          <w:tcPr>
            <w:tcW w:w="928" w:type="dxa"/>
            <w:tcBorders>
              <w:top w:val="single" w:sz="4" w:space="0" w:color="auto"/>
              <w:left w:val="single" w:sz="4" w:space="0" w:color="auto"/>
              <w:bottom w:val="single" w:sz="4" w:space="0" w:color="auto"/>
              <w:right w:val="nil"/>
            </w:tcBorders>
            <w:shd w:val="clear" w:color="auto" w:fill="auto"/>
            <w:noWrap/>
            <w:vAlign w:val="bottom"/>
            <w:hideMark/>
          </w:tcPr>
          <w:p w14:paraId="5F188CC0" w14:textId="77777777" w:rsidR="009F26C0" w:rsidRPr="009F26C0" w:rsidRDefault="009F26C0" w:rsidP="009F26C0">
            <w:pPr>
              <w:jc w:val="center"/>
              <w:rPr>
                <w:rFonts w:eastAsia="Times New Roman"/>
                <w:color w:val="000000"/>
                <w:sz w:val="20"/>
                <w:szCs w:val="20"/>
                <w:lang w:eastAsia="pt-BR"/>
              </w:rPr>
            </w:pPr>
            <w:r w:rsidRPr="009F26C0">
              <w:rPr>
                <w:rFonts w:eastAsia="Times New Roman"/>
                <w:color w:val="000000"/>
                <w:sz w:val="20"/>
                <w:szCs w:val="20"/>
                <w:lang w:eastAsia="pt-BR"/>
              </w:rPr>
              <w:t>40,82%</w:t>
            </w:r>
          </w:p>
        </w:tc>
      </w:tr>
      <w:tr w:rsidR="00CB7CBC" w:rsidRPr="009F26C0" w14:paraId="0BAAE164" w14:textId="77777777" w:rsidTr="00F366B6">
        <w:trPr>
          <w:trHeight w:val="339"/>
        </w:trPr>
        <w:tc>
          <w:tcPr>
            <w:tcW w:w="2229" w:type="dxa"/>
            <w:tcBorders>
              <w:top w:val="nil"/>
              <w:left w:val="nil"/>
              <w:bottom w:val="single" w:sz="4" w:space="0" w:color="auto"/>
              <w:right w:val="single" w:sz="4" w:space="0" w:color="auto"/>
            </w:tcBorders>
            <w:shd w:val="clear" w:color="auto" w:fill="auto"/>
            <w:noWrap/>
            <w:vAlign w:val="bottom"/>
            <w:hideMark/>
          </w:tcPr>
          <w:p w14:paraId="6888F2F8" w14:textId="77777777" w:rsidR="009F26C0" w:rsidRPr="009F26C0" w:rsidRDefault="009F26C0" w:rsidP="00EF0D90">
            <w:pPr>
              <w:ind w:left="-69"/>
              <w:rPr>
                <w:rFonts w:eastAsia="Times New Roman"/>
                <w:b/>
                <w:bCs/>
                <w:color w:val="000000"/>
                <w:sz w:val="20"/>
                <w:szCs w:val="20"/>
                <w:lang w:eastAsia="pt-BR"/>
              </w:rPr>
            </w:pPr>
            <w:r w:rsidRPr="009F26C0">
              <w:rPr>
                <w:rFonts w:eastAsia="Times New Roman"/>
                <w:b/>
                <w:bCs/>
                <w:color w:val="000000"/>
                <w:sz w:val="20"/>
                <w:szCs w:val="20"/>
                <w:lang w:eastAsia="pt-BR"/>
              </w:rPr>
              <w:t>Total</w:t>
            </w:r>
          </w:p>
        </w:tc>
        <w:tc>
          <w:tcPr>
            <w:tcW w:w="911" w:type="dxa"/>
            <w:tcBorders>
              <w:top w:val="nil"/>
              <w:left w:val="nil"/>
              <w:bottom w:val="single" w:sz="4" w:space="0" w:color="auto"/>
              <w:right w:val="single" w:sz="4" w:space="0" w:color="auto"/>
            </w:tcBorders>
            <w:shd w:val="clear" w:color="auto" w:fill="auto"/>
            <w:noWrap/>
            <w:vAlign w:val="bottom"/>
            <w:hideMark/>
          </w:tcPr>
          <w:p w14:paraId="68DDFA12" w14:textId="77777777" w:rsidR="009F26C0" w:rsidRPr="009F26C0" w:rsidRDefault="009F26C0" w:rsidP="009F26C0">
            <w:pPr>
              <w:jc w:val="center"/>
              <w:rPr>
                <w:rFonts w:eastAsia="Times New Roman"/>
                <w:b/>
                <w:bCs/>
                <w:color w:val="000000"/>
                <w:sz w:val="20"/>
                <w:szCs w:val="20"/>
                <w:lang w:eastAsia="pt-BR"/>
              </w:rPr>
            </w:pPr>
            <w:r w:rsidRPr="009F26C0">
              <w:rPr>
                <w:rFonts w:eastAsia="Times New Roman"/>
                <w:b/>
                <w:bCs/>
                <w:color w:val="000000"/>
                <w:sz w:val="20"/>
                <w:szCs w:val="20"/>
                <w:lang w:eastAsia="pt-BR"/>
              </w:rPr>
              <w:t>211</w:t>
            </w:r>
          </w:p>
        </w:tc>
        <w:tc>
          <w:tcPr>
            <w:tcW w:w="1044" w:type="dxa"/>
            <w:tcBorders>
              <w:top w:val="nil"/>
              <w:left w:val="nil"/>
              <w:bottom w:val="single" w:sz="4" w:space="0" w:color="auto"/>
              <w:right w:val="single" w:sz="4" w:space="0" w:color="auto"/>
            </w:tcBorders>
            <w:shd w:val="clear" w:color="auto" w:fill="auto"/>
            <w:noWrap/>
            <w:vAlign w:val="bottom"/>
            <w:hideMark/>
          </w:tcPr>
          <w:p w14:paraId="26CF668C" w14:textId="77777777" w:rsidR="009F26C0" w:rsidRPr="009F26C0" w:rsidRDefault="009F26C0" w:rsidP="009F26C0">
            <w:pPr>
              <w:jc w:val="center"/>
              <w:rPr>
                <w:rFonts w:eastAsia="Times New Roman"/>
                <w:b/>
                <w:bCs/>
                <w:color w:val="000000"/>
                <w:sz w:val="20"/>
                <w:szCs w:val="20"/>
                <w:lang w:eastAsia="pt-BR"/>
              </w:rPr>
            </w:pPr>
            <w:r w:rsidRPr="009F26C0">
              <w:rPr>
                <w:rFonts w:eastAsia="Times New Roman"/>
                <w:b/>
                <w:bCs/>
                <w:color w:val="000000"/>
                <w:sz w:val="20"/>
                <w:szCs w:val="20"/>
                <w:lang w:eastAsia="pt-BR"/>
              </w:rPr>
              <w:t>198</w:t>
            </w:r>
          </w:p>
        </w:tc>
        <w:tc>
          <w:tcPr>
            <w:tcW w:w="1044" w:type="dxa"/>
            <w:tcBorders>
              <w:top w:val="nil"/>
              <w:left w:val="nil"/>
              <w:bottom w:val="single" w:sz="4" w:space="0" w:color="auto"/>
              <w:right w:val="single" w:sz="4" w:space="0" w:color="auto"/>
            </w:tcBorders>
            <w:shd w:val="clear" w:color="auto" w:fill="auto"/>
            <w:noWrap/>
            <w:vAlign w:val="bottom"/>
            <w:hideMark/>
          </w:tcPr>
          <w:p w14:paraId="7D9DD2CF" w14:textId="77777777" w:rsidR="009F26C0" w:rsidRPr="009F26C0" w:rsidRDefault="009F26C0" w:rsidP="009F26C0">
            <w:pPr>
              <w:jc w:val="center"/>
              <w:rPr>
                <w:rFonts w:eastAsia="Times New Roman"/>
                <w:b/>
                <w:bCs/>
                <w:color w:val="000000"/>
                <w:sz w:val="20"/>
                <w:szCs w:val="20"/>
                <w:lang w:eastAsia="pt-BR"/>
              </w:rPr>
            </w:pPr>
            <w:r w:rsidRPr="009F26C0">
              <w:rPr>
                <w:rFonts w:eastAsia="Times New Roman"/>
                <w:b/>
                <w:bCs/>
                <w:color w:val="000000"/>
                <w:sz w:val="20"/>
                <w:szCs w:val="20"/>
                <w:lang w:eastAsia="pt-BR"/>
              </w:rPr>
              <w:t>244</w:t>
            </w:r>
          </w:p>
        </w:tc>
        <w:tc>
          <w:tcPr>
            <w:tcW w:w="1065" w:type="dxa"/>
            <w:tcBorders>
              <w:top w:val="nil"/>
              <w:left w:val="nil"/>
              <w:bottom w:val="single" w:sz="4" w:space="0" w:color="auto"/>
              <w:right w:val="single" w:sz="4" w:space="0" w:color="auto"/>
            </w:tcBorders>
            <w:shd w:val="clear" w:color="auto" w:fill="auto"/>
            <w:noWrap/>
            <w:vAlign w:val="bottom"/>
            <w:hideMark/>
          </w:tcPr>
          <w:p w14:paraId="2AAD5A1E" w14:textId="77777777" w:rsidR="009F26C0" w:rsidRPr="009F26C0" w:rsidRDefault="009F26C0" w:rsidP="009F26C0">
            <w:pPr>
              <w:jc w:val="center"/>
              <w:rPr>
                <w:rFonts w:eastAsia="Times New Roman"/>
                <w:b/>
                <w:bCs/>
                <w:color w:val="000000"/>
                <w:sz w:val="20"/>
                <w:szCs w:val="20"/>
                <w:lang w:eastAsia="pt-BR"/>
              </w:rPr>
            </w:pPr>
            <w:r w:rsidRPr="009F26C0">
              <w:rPr>
                <w:rFonts w:eastAsia="Times New Roman"/>
                <w:b/>
                <w:bCs/>
                <w:color w:val="000000"/>
                <w:sz w:val="20"/>
                <w:szCs w:val="20"/>
                <w:lang w:eastAsia="pt-BR"/>
              </w:rPr>
              <w:t>197</w:t>
            </w:r>
          </w:p>
        </w:tc>
        <w:tc>
          <w:tcPr>
            <w:tcW w:w="1000" w:type="dxa"/>
            <w:tcBorders>
              <w:top w:val="nil"/>
              <w:left w:val="nil"/>
              <w:bottom w:val="single" w:sz="4" w:space="0" w:color="auto"/>
              <w:right w:val="nil"/>
            </w:tcBorders>
            <w:shd w:val="clear" w:color="auto" w:fill="auto"/>
            <w:noWrap/>
            <w:vAlign w:val="bottom"/>
            <w:hideMark/>
          </w:tcPr>
          <w:p w14:paraId="576701BF" w14:textId="77777777" w:rsidR="009F26C0" w:rsidRPr="009F26C0" w:rsidRDefault="009F26C0" w:rsidP="009F26C0">
            <w:pPr>
              <w:jc w:val="center"/>
              <w:rPr>
                <w:rFonts w:eastAsia="Times New Roman"/>
                <w:b/>
                <w:bCs/>
                <w:color w:val="000000"/>
                <w:sz w:val="20"/>
                <w:szCs w:val="20"/>
                <w:lang w:eastAsia="pt-BR"/>
              </w:rPr>
            </w:pPr>
            <w:r w:rsidRPr="009F26C0">
              <w:rPr>
                <w:rFonts w:eastAsia="Times New Roman"/>
                <w:b/>
                <w:bCs/>
                <w:color w:val="000000"/>
                <w:sz w:val="20"/>
                <w:szCs w:val="20"/>
                <w:lang w:eastAsia="pt-BR"/>
              </w:rPr>
              <w:t>850</w:t>
            </w:r>
          </w:p>
        </w:tc>
        <w:tc>
          <w:tcPr>
            <w:tcW w:w="928" w:type="dxa"/>
            <w:tcBorders>
              <w:top w:val="nil"/>
              <w:left w:val="single" w:sz="4" w:space="0" w:color="auto"/>
              <w:bottom w:val="single" w:sz="4" w:space="0" w:color="auto"/>
              <w:right w:val="nil"/>
            </w:tcBorders>
            <w:shd w:val="clear" w:color="auto" w:fill="auto"/>
            <w:noWrap/>
            <w:vAlign w:val="bottom"/>
            <w:hideMark/>
          </w:tcPr>
          <w:p w14:paraId="25BAD5DA" w14:textId="77777777" w:rsidR="009F26C0" w:rsidRPr="009F26C0" w:rsidRDefault="009F26C0" w:rsidP="009F26C0">
            <w:pPr>
              <w:jc w:val="center"/>
              <w:rPr>
                <w:rFonts w:eastAsia="Times New Roman"/>
                <w:b/>
                <w:bCs/>
                <w:color w:val="000000"/>
                <w:sz w:val="20"/>
                <w:szCs w:val="20"/>
                <w:lang w:eastAsia="pt-BR"/>
              </w:rPr>
            </w:pPr>
            <w:r w:rsidRPr="009F26C0">
              <w:rPr>
                <w:rFonts w:eastAsia="Times New Roman"/>
                <w:b/>
                <w:bCs/>
                <w:color w:val="000000"/>
                <w:sz w:val="20"/>
                <w:szCs w:val="20"/>
                <w:lang w:eastAsia="pt-BR"/>
              </w:rPr>
              <w:t>100,00%</w:t>
            </w:r>
          </w:p>
        </w:tc>
      </w:tr>
    </w:tbl>
    <w:p w14:paraId="5C8F1E28" w14:textId="20611AE9" w:rsidR="004E44B9" w:rsidRDefault="00D4395F" w:rsidP="00F366B6">
      <w:pPr>
        <w:spacing w:after="160" w:line="259" w:lineRule="auto"/>
        <w:ind w:left="284"/>
        <w:rPr>
          <w:sz w:val="20"/>
          <w:szCs w:val="20"/>
        </w:rPr>
      </w:pPr>
      <w:r>
        <w:rPr>
          <w:sz w:val="20"/>
          <w:szCs w:val="20"/>
        </w:rPr>
        <w:t>Fonte: Dados da pesquisa (2021)</w:t>
      </w:r>
    </w:p>
    <w:p w14:paraId="2A264396" w14:textId="77777777" w:rsidR="00D4395F" w:rsidRDefault="00D4395F" w:rsidP="007766F4">
      <w:pPr>
        <w:spacing w:after="160"/>
        <w:ind w:left="284"/>
        <w:rPr>
          <w:sz w:val="20"/>
          <w:szCs w:val="20"/>
        </w:rPr>
      </w:pPr>
    </w:p>
    <w:p w14:paraId="788B450E" w14:textId="097C05AE" w:rsidR="009F26C0" w:rsidRDefault="009F26C0" w:rsidP="009F26C0">
      <w:pPr>
        <w:pStyle w:val="UnidaviTexto-Espao15"/>
      </w:pPr>
      <w:r>
        <w:t xml:space="preserve">Ao longo dos quatro anos </w:t>
      </w:r>
      <w:r w:rsidR="007766F4">
        <w:t xml:space="preserve">conforme apresenta a Tabela 23, </w:t>
      </w:r>
      <w:r w:rsidR="0057458E">
        <w:t xml:space="preserve">das 1195 participações, </w:t>
      </w:r>
      <w:r w:rsidR="00C4181C">
        <w:t>obteve-se um total</w:t>
      </w:r>
      <w:r w:rsidR="00CB7CBC">
        <w:t xml:space="preserve"> de 850 participações de empresas</w:t>
      </w:r>
      <w:r w:rsidR="00165741">
        <w:t xml:space="preserve"> que venceram nas licitações realizadas</w:t>
      </w:r>
      <w:r w:rsidR="00CB7CBC">
        <w:t xml:space="preserve">, dessas </w:t>
      </w:r>
      <w:r w:rsidR="00165741">
        <w:t xml:space="preserve">participações </w:t>
      </w:r>
      <w:r w:rsidR="00CB7CBC">
        <w:t>309 foram de empresas do município de Taió. As participações de empresas do Alto Vale do Itajaí totalizaram 194. Já o total de participações de empresas de fora do Alto Vale do Itajaí</w:t>
      </w:r>
      <w:r w:rsidR="00C4181C">
        <w:t xml:space="preserve"> somaram 347 participações</w:t>
      </w:r>
      <w:r w:rsidR="00CB7CBC">
        <w:t>.</w:t>
      </w:r>
    </w:p>
    <w:p w14:paraId="3254743C" w14:textId="77777777" w:rsidR="00F366B6" w:rsidRDefault="00F366B6" w:rsidP="007766F4">
      <w:pPr>
        <w:pStyle w:val="UnidaviTexto-Espao15"/>
      </w:pPr>
    </w:p>
    <w:p w14:paraId="2A45048F" w14:textId="5E113F04" w:rsidR="00CB7CBC" w:rsidRDefault="00F366B6" w:rsidP="00F366B6">
      <w:pPr>
        <w:pStyle w:val="UnidaviTexto-Espao15"/>
        <w:spacing w:line="240" w:lineRule="auto"/>
        <w:ind w:left="284" w:firstLine="0"/>
      </w:pPr>
      <w:r w:rsidRPr="007F2776">
        <w:rPr>
          <w:b/>
          <w:sz w:val="20"/>
        </w:rPr>
        <w:t>Gr</w:t>
      </w:r>
      <w:r>
        <w:rPr>
          <w:b/>
          <w:sz w:val="20"/>
        </w:rPr>
        <w:t>áfico 30</w:t>
      </w:r>
      <w:r w:rsidRPr="007F2776">
        <w:rPr>
          <w:b/>
          <w:sz w:val="20"/>
        </w:rPr>
        <w:t xml:space="preserve"> – </w:t>
      </w:r>
      <w:r>
        <w:rPr>
          <w:b/>
          <w:sz w:val="20"/>
        </w:rPr>
        <w:t>Total de participações por região 2017 – 2020</w:t>
      </w:r>
    </w:p>
    <w:p w14:paraId="0196F1DD" w14:textId="1504C69F" w:rsidR="00B03EEA" w:rsidRDefault="00C7063D" w:rsidP="00F366B6">
      <w:pPr>
        <w:tabs>
          <w:tab w:val="left" w:pos="8505"/>
        </w:tabs>
        <w:spacing w:after="160"/>
        <w:ind w:left="284" w:right="284"/>
        <w:contextualSpacing/>
        <w:rPr>
          <w:sz w:val="20"/>
          <w:szCs w:val="20"/>
        </w:rPr>
      </w:pPr>
      <w:r>
        <w:rPr>
          <w:noProof/>
          <w:lang w:eastAsia="pt-BR"/>
        </w:rPr>
        <w:drawing>
          <wp:inline distT="0" distB="0" distL="0" distR="0" wp14:anchorId="65DBD743" wp14:editId="5649A8BD">
            <wp:extent cx="5229225" cy="3068955"/>
            <wp:effectExtent l="0" t="0" r="9525" b="1714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919561" w14:textId="7603E863" w:rsidR="00B03EEA" w:rsidRDefault="00D4395F" w:rsidP="00B03EEA">
      <w:pPr>
        <w:spacing w:after="160" w:line="360" w:lineRule="auto"/>
        <w:ind w:left="284" w:right="284"/>
        <w:contextualSpacing/>
        <w:rPr>
          <w:sz w:val="20"/>
        </w:rPr>
      </w:pPr>
      <w:r>
        <w:rPr>
          <w:sz w:val="20"/>
        </w:rPr>
        <w:t>Fonte: Dados da pesquisa (2021)</w:t>
      </w:r>
    </w:p>
    <w:p w14:paraId="0EF71B79" w14:textId="77777777" w:rsidR="00D4395F" w:rsidRPr="00B03EEA" w:rsidRDefault="00D4395F" w:rsidP="007766F4">
      <w:pPr>
        <w:spacing w:after="160"/>
        <w:ind w:left="284" w:right="284"/>
        <w:contextualSpacing/>
        <w:rPr>
          <w:sz w:val="20"/>
          <w:szCs w:val="20"/>
        </w:rPr>
      </w:pPr>
    </w:p>
    <w:p w14:paraId="08F1A06E" w14:textId="7D86F920" w:rsidR="00B32C27" w:rsidRDefault="007766F4" w:rsidP="00403167">
      <w:pPr>
        <w:pStyle w:val="UnidaviTexto-Espao15"/>
      </w:pPr>
      <w:r>
        <w:t>Conforme o Gráfico 30, o</w:t>
      </w:r>
      <w:r w:rsidR="00B03EEA">
        <w:t xml:space="preserve"> ano de 2017 foi o único ano em que as empresas de Taió foram a maioria</w:t>
      </w:r>
      <w:r w:rsidR="00403167">
        <w:t xml:space="preserve"> no total de participações</w:t>
      </w:r>
      <w:r w:rsidR="00B03EEA">
        <w:t>. Em 2018 e 2019 a maioria das participações foram de empresas de fora do Alto Vale do Itajaí. E no ano de 2020 a maior quantidade de participações ficaram com as empresas do Alto Vale do Itajaí.</w:t>
      </w:r>
    </w:p>
    <w:p w14:paraId="0F66A9C7" w14:textId="223F7E87" w:rsidR="00566CC8" w:rsidRDefault="00566CC8" w:rsidP="00403167">
      <w:pPr>
        <w:pStyle w:val="UnidaviTexto-Espao15"/>
      </w:pPr>
    </w:p>
    <w:p w14:paraId="78E5CDFE" w14:textId="7E8172EE" w:rsidR="00D4395F" w:rsidRDefault="00D4395F" w:rsidP="00403167">
      <w:pPr>
        <w:pStyle w:val="UnidaviTexto-Espao15"/>
      </w:pPr>
    </w:p>
    <w:p w14:paraId="3046BE28" w14:textId="1CCB3151" w:rsidR="00D4395F" w:rsidRDefault="00D4395F" w:rsidP="007766F4">
      <w:pPr>
        <w:pStyle w:val="UnidaviTexto-Espao15"/>
        <w:ind w:firstLine="0"/>
      </w:pPr>
    </w:p>
    <w:p w14:paraId="256D2192" w14:textId="45971A4F" w:rsidR="00D4395F" w:rsidRPr="00D4395F" w:rsidRDefault="00D4395F" w:rsidP="00D4395F">
      <w:pPr>
        <w:ind w:left="284" w:right="284"/>
        <w:contextualSpacing/>
        <w:rPr>
          <w:sz w:val="20"/>
          <w:szCs w:val="20"/>
        </w:rPr>
      </w:pPr>
      <w:r w:rsidRPr="007F2776">
        <w:rPr>
          <w:b/>
          <w:sz w:val="20"/>
        </w:rPr>
        <w:lastRenderedPageBreak/>
        <w:t>Gr</w:t>
      </w:r>
      <w:r>
        <w:rPr>
          <w:b/>
          <w:sz w:val="20"/>
        </w:rPr>
        <w:t>áfico 31</w:t>
      </w:r>
      <w:r w:rsidRPr="007F2776">
        <w:rPr>
          <w:b/>
          <w:sz w:val="20"/>
        </w:rPr>
        <w:t xml:space="preserve"> – </w:t>
      </w:r>
      <w:r>
        <w:rPr>
          <w:b/>
          <w:sz w:val="20"/>
        </w:rPr>
        <w:t>Total de participações vencedoras por região 2017 – 2020</w:t>
      </w:r>
    </w:p>
    <w:p w14:paraId="36F7BE05" w14:textId="40675AB0" w:rsidR="00403167" w:rsidRDefault="00403167" w:rsidP="003937B7">
      <w:pPr>
        <w:pStyle w:val="UnidaviTexto-Espao15"/>
        <w:tabs>
          <w:tab w:val="left" w:pos="8505"/>
        </w:tabs>
        <w:spacing w:line="240" w:lineRule="auto"/>
        <w:ind w:left="284" w:right="284" w:firstLine="0"/>
      </w:pPr>
      <w:r>
        <w:rPr>
          <w:noProof/>
        </w:rPr>
        <w:drawing>
          <wp:inline distT="0" distB="0" distL="0" distR="0" wp14:anchorId="580EE089" wp14:editId="6E6B06E0">
            <wp:extent cx="5223510" cy="2881222"/>
            <wp:effectExtent l="0" t="0" r="15240" b="1460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70EDB7A" w14:textId="77777777" w:rsidR="00D4395F" w:rsidRDefault="00D4395F" w:rsidP="004005B6">
      <w:pPr>
        <w:spacing w:after="160" w:line="360" w:lineRule="auto"/>
        <w:ind w:left="284" w:right="284"/>
        <w:contextualSpacing/>
        <w:rPr>
          <w:sz w:val="20"/>
        </w:rPr>
      </w:pPr>
      <w:r>
        <w:rPr>
          <w:sz w:val="20"/>
        </w:rPr>
        <w:t>Fonte: Dados da pesquisa (2021)</w:t>
      </w:r>
    </w:p>
    <w:p w14:paraId="631AFCEC" w14:textId="309B0B57" w:rsidR="00403167" w:rsidRPr="00B03EEA" w:rsidRDefault="00403167" w:rsidP="007766F4">
      <w:pPr>
        <w:spacing w:after="160"/>
        <w:ind w:left="284" w:right="284"/>
        <w:contextualSpacing/>
        <w:rPr>
          <w:sz w:val="20"/>
          <w:szCs w:val="20"/>
        </w:rPr>
      </w:pPr>
      <w:r>
        <w:rPr>
          <w:sz w:val="20"/>
        </w:rPr>
        <w:tab/>
      </w:r>
    </w:p>
    <w:p w14:paraId="5372D566" w14:textId="1B7AD074" w:rsidR="00940D85" w:rsidRDefault="004005B6" w:rsidP="00940D85">
      <w:pPr>
        <w:pStyle w:val="UnidaviTexto-Espao15"/>
      </w:pPr>
      <w:r>
        <w:t xml:space="preserve">Referente as participações vencedoras, se manteve um padrão parecido. </w:t>
      </w:r>
      <w:r w:rsidR="007766F4">
        <w:t>O Gráfico 31 apresenta que n</w:t>
      </w:r>
      <w:r>
        <w:t xml:space="preserve">o ano de 2017 as empresas de Taió representaram a maior parcela. Em 2018, 2019 e 2020 as empresas de fora do Alto Vale que ficaram com a parcela maior de </w:t>
      </w:r>
      <w:r w:rsidR="00C4181C">
        <w:t>vencedoras</w:t>
      </w:r>
      <w:r>
        <w:t>. Observa-se que em 2020 mesmo as empresas do Alto Vale do Itajaí tendo a quantidade maior de participações, a parcela de vencedores acabou ficando com as empresas de fora do Alto Vale do Itajaí também.</w:t>
      </w:r>
    </w:p>
    <w:p w14:paraId="7CCEDA05" w14:textId="77777777" w:rsidR="00D4395F" w:rsidRPr="004005B6" w:rsidRDefault="00D4395F" w:rsidP="007766F4">
      <w:pPr>
        <w:pStyle w:val="UnidaviTexto-Espao15"/>
        <w:spacing w:line="240" w:lineRule="auto"/>
      </w:pPr>
    </w:p>
    <w:p w14:paraId="4C6E92F5" w14:textId="41D7BFCA" w:rsidR="009F26C0" w:rsidRPr="00D4395F" w:rsidRDefault="00D4395F" w:rsidP="00D4395F">
      <w:pPr>
        <w:ind w:left="284" w:right="284"/>
        <w:contextualSpacing/>
        <w:rPr>
          <w:sz w:val="20"/>
          <w:szCs w:val="20"/>
        </w:rPr>
      </w:pPr>
      <w:r w:rsidRPr="007F2776">
        <w:rPr>
          <w:b/>
          <w:sz w:val="20"/>
        </w:rPr>
        <w:t>Gr</w:t>
      </w:r>
      <w:r>
        <w:rPr>
          <w:b/>
          <w:sz w:val="20"/>
        </w:rPr>
        <w:t>áfico 32</w:t>
      </w:r>
      <w:r w:rsidRPr="007F2776">
        <w:rPr>
          <w:b/>
          <w:sz w:val="20"/>
        </w:rPr>
        <w:t xml:space="preserve"> –</w:t>
      </w:r>
      <w:r>
        <w:rPr>
          <w:b/>
          <w:sz w:val="20"/>
        </w:rPr>
        <w:t xml:space="preserve"> Valor</w:t>
      </w:r>
      <w:r w:rsidRPr="007F2776">
        <w:rPr>
          <w:b/>
          <w:sz w:val="20"/>
        </w:rPr>
        <w:t xml:space="preserve"> </w:t>
      </w:r>
      <w:r>
        <w:rPr>
          <w:b/>
          <w:sz w:val="20"/>
        </w:rPr>
        <w:t>total das participações vencedoras por região 2017 – 2020</w:t>
      </w:r>
    </w:p>
    <w:p w14:paraId="0E262A4A" w14:textId="7E051F69" w:rsidR="00402E38" w:rsidRDefault="00940D85" w:rsidP="0053459E">
      <w:pPr>
        <w:pStyle w:val="UNIDAVISEOSECUNDARIA"/>
        <w:ind w:left="284" w:right="284"/>
      </w:pPr>
      <w:r>
        <w:rPr>
          <w:noProof/>
          <w:lang w:val="pt-BR" w:eastAsia="pt-BR"/>
        </w:rPr>
        <w:drawing>
          <wp:inline distT="0" distB="0" distL="0" distR="0" wp14:anchorId="2592F65B" wp14:editId="3988B344">
            <wp:extent cx="5239910" cy="2734945"/>
            <wp:effectExtent l="0" t="0" r="18415" b="825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2F23524" w14:textId="11FE7F52" w:rsidR="007766F4" w:rsidRDefault="00D4395F" w:rsidP="007766F4">
      <w:pPr>
        <w:spacing w:after="160" w:line="360" w:lineRule="auto"/>
        <w:ind w:left="284" w:right="284"/>
        <w:contextualSpacing/>
        <w:rPr>
          <w:sz w:val="20"/>
        </w:rPr>
      </w:pPr>
      <w:r>
        <w:rPr>
          <w:sz w:val="20"/>
        </w:rPr>
        <w:t>Fonte: Dados da pesquisa (2021)</w:t>
      </w:r>
    </w:p>
    <w:p w14:paraId="6B673552" w14:textId="77777777" w:rsidR="007766F4" w:rsidRPr="007766F4" w:rsidRDefault="007766F4" w:rsidP="007766F4">
      <w:pPr>
        <w:spacing w:after="160"/>
        <w:ind w:left="284" w:right="284"/>
        <w:contextualSpacing/>
        <w:rPr>
          <w:sz w:val="20"/>
        </w:rPr>
      </w:pPr>
    </w:p>
    <w:p w14:paraId="2E8A577A" w14:textId="7ACDDC66" w:rsidR="0083019C" w:rsidRDefault="00940D85" w:rsidP="004F2C0C">
      <w:pPr>
        <w:pStyle w:val="UnidaviTexto-Espao15"/>
      </w:pPr>
      <w:r>
        <w:lastRenderedPageBreak/>
        <w:t xml:space="preserve">Apesar de o município de Taió </w:t>
      </w:r>
      <w:r w:rsidR="004F2C0C">
        <w:t>nem sempre ficar com a maioria em relação a quantidade de vencedores, no quesito valor</w:t>
      </w:r>
      <w:r w:rsidR="00C4181C">
        <w:t>,</w:t>
      </w:r>
      <w:r w:rsidR="004F2C0C">
        <w:t xml:space="preserve"> o município acabou ficando na frente nos anos 2017, 2018 e 2020. Ficou atrás apenas em 2019, onde a região vencedora foi a </w:t>
      </w:r>
      <w:r w:rsidR="00DC44A1">
        <w:t xml:space="preserve">região </w:t>
      </w:r>
      <w:r w:rsidR="007766F4">
        <w:t>do Alto Vale do Itajaí conforme ilustra o Gráfico 32.</w:t>
      </w:r>
    </w:p>
    <w:p w14:paraId="376A4170" w14:textId="77777777" w:rsidR="00D4395F" w:rsidRDefault="00D4395F" w:rsidP="007766F4">
      <w:pPr>
        <w:pStyle w:val="UnidaviTexto-Espao15"/>
        <w:spacing w:line="240" w:lineRule="auto"/>
      </w:pPr>
    </w:p>
    <w:p w14:paraId="7B8682A2" w14:textId="2CDE766C" w:rsidR="004F2C0C" w:rsidRPr="00D4395F" w:rsidRDefault="00D4395F" w:rsidP="00D4395F">
      <w:pPr>
        <w:ind w:left="284" w:right="284"/>
        <w:contextualSpacing/>
        <w:rPr>
          <w:sz w:val="20"/>
          <w:szCs w:val="20"/>
        </w:rPr>
      </w:pPr>
      <w:r w:rsidRPr="007F2776">
        <w:rPr>
          <w:b/>
          <w:sz w:val="20"/>
        </w:rPr>
        <w:t>Gr</w:t>
      </w:r>
      <w:r>
        <w:rPr>
          <w:b/>
          <w:sz w:val="20"/>
        </w:rPr>
        <w:t>áfico 33</w:t>
      </w:r>
      <w:r w:rsidRPr="007F2776">
        <w:rPr>
          <w:b/>
          <w:sz w:val="20"/>
        </w:rPr>
        <w:t xml:space="preserve"> –</w:t>
      </w:r>
      <w:r>
        <w:rPr>
          <w:b/>
          <w:sz w:val="20"/>
        </w:rPr>
        <w:t xml:space="preserve"> Valor</w:t>
      </w:r>
      <w:r w:rsidRPr="007F2776">
        <w:rPr>
          <w:b/>
          <w:sz w:val="20"/>
        </w:rPr>
        <w:t xml:space="preserve"> </w:t>
      </w:r>
      <w:r>
        <w:rPr>
          <w:b/>
          <w:sz w:val="20"/>
        </w:rPr>
        <w:t>total das participações vencedoras por ano 2017 – 2020</w:t>
      </w:r>
    </w:p>
    <w:p w14:paraId="246DB0DF" w14:textId="177BD46F" w:rsidR="004F2C0C" w:rsidRDefault="004F2C0C" w:rsidP="00D4395F">
      <w:pPr>
        <w:pStyle w:val="UnidaviTexto-Espao15"/>
        <w:tabs>
          <w:tab w:val="left" w:pos="8505"/>
        </w:tabs>
        <w:spacing w:line="240" w:lineRule="auto"/>
        <w:ind w:left="284" w:right="283" w:firstLine="0"/>
      </w:pPr>
      <w:r>
        <w:rPr>
          <w:noProof/>
        </w:rPr>
        <w:drawing>
          <wp:inline distT="0" distB="0" distL="0" distR="0" wp14:anchorId="04915336" wp14:editId="2251810C">
            <wp:extent cx="5200015" cy="3148642"/>
            <wp:effectExtent l="0" t="0" r="635" b="1397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A81134F" w14:textId="16EA61C7" w:rsidR="004F2C0C" w:rsidRDefault="00D4395F" w:rsidP="004F2C0C">
      <w:pPr>
        <w:spacing w:after="160"/>
        <w:ind w:left="284" w:right="284"/>
        <w:contextualSpacing/>
        <w:rPr>
          <w:sz w:val="20"/>
        </w:rPr>
      </w:pPr>
      <w:r>
        <w:rPr>
          <w:sz w:val="20"/>
        </w:rPr>
        <w:t>Fonte: Dados da pesquisa (2021)</w:t>
      </w:r>
    </w:p>
    <w:p w14:paraId="7CD2A09A" w14:textId="77777777" w:rsidR="005F768C" w:rsidRPr="00B03EEA" w:rsidRDefault="005F768C" w:rsidP="007766F4">
      <w:pPr>
        <w:spacing w:after="160"/>
        <w:ind w:left="284" w:right="284"/>
        <w:contextualSpacing/>
        <w:rPr>
          <w:sz w:val="20"/>
          <w:szCs w:val="20"/>
        </w:rPr>
      </w:pPr>
    </w:p>
    <w:p w14:paraId="6CC8B223" w14:textId="13D9D1B1" w:rsidR="004F2C0C" w:rsidRDefault="004F2C0C" w:rsidP="004F2C0C">
      <w:pPr>
        <w:pStyle w:val="UnidaviTexto-Espao15"/>
      </w:pPr>
      <w:r>
        <w:t>Os investimentos feitos pelo município ao longo dos quatro a</w:t>
      </w:r>
      <w:r w:rsidR="00BD0EEC">
        <w:t>nos estudados ficam visíveis</w:t>
      </w:r>
      <w:r w:rsidR="007766F4">
        <w:t xml:space="preserve"> quando analisado o G</w:t>
      </w:r>
      <w:r w:rsidR="00C576C5">
        <w:t>ráfico 33. De 2017 a 2019</w:t>
      </w:r>
      <w:r>
        <w:t xml:space="preserve"> é facilmente observável que os investimentos aumentaram consideravelmente, </w:t>
      </w:r>
      <w:r w:rsidR="00163885">
        <w:t>apenas</w:t>
      </w:r>
      <w:r>
        <w:t xml:space="preserve"> no ano de 2020</w:t>
      </w:r>
      <w:r w:rsidR="00163885">
        <w:t xml:space="preserve"> que o crescimento do valor investido foi menor, mas que ainda assim superou o ano de 2019</w:t>
      </w:r>
      <w:r>
        <w:t>. Essa queda</w:t>
      </w:r>
      <w:r w:rsidR="00163885">
        <w:t xml:space="preserve"> no aumento de valor investido,</w:t>
      </w:r>
      <w:r>
        <w:t xml:space="preserve"> pode ter sido influenciada pela pandemia da COVID-19 </w:t>
      </w:r>
      <w:r w:rsidR="00460C41">
        <w:t xml:space="preserve">a qual gerou uma insegurança econômica muito grande, </w:t>
      </w:r>
      <w:r>
        <w:t xml:space="preserve">visto que muitas empresas foram </w:t>
      </w:r>
      <w:r w:rsidRPr="00BD0EEC">
        <w:t>afetadas</w:t>
      </w:r>
      <w:r w:rsidR="00BD0EEC">
        <w:t xml:space="preserve"> e deixaram de fornecer seus produtos e serviços, o que pode ter ocasionado a queda evidenciada nas aquisições do município</w:t>
      </w:r>
      <w:r w:rsidRPr="00BD0EEC">
        <w:t>.</w:t>
      </w:r>
    </w:p>
    <w:p w14:paraId="71766E61" w14:textId="08D60502" w:rsidR="0083019C" w:rsidRDefault="0083019C" w:rsidP="007766F4">
      <w:pPr>
        <w:pStyle w:val="UNIDAVISEOSECUNDARIA"/>
      </w:pPr>
    </w:p>
    <w:p w14:paraId="402AAEFC" w14:textId="3855A8DF" w:rsidR="002F22FB" w:rsidRPr="00D4395F" w:rsidRDefault="002F22FB" w:rsidP="00D4395F">
      <w:pPr>
        <w:pStyle w:val="UnidaviTexto-Espao15"/>
        <w:spacing w:line="240" w:lineRule="auto"/>
        <w:ind w:left="284" w:firstLine="0"/>
        <w:rPr>
          <w:b/>
        </w:rPr>
      </w:pPr>
      <w:r w:rsidRPr="00D4395F">
        <w:rPr>
          <w:b/>
          <w:sz w:val="20"/>
        </w:rPr>
        <w:t>Tabe</w:t>
      </w:r>
      <w:r w:rsidR="00165741" w:rsidRPr="00D4395F">
        <w:rPr>
          <w:b/>
          <w:sz w:val="20"/>
        </w:rPr>
        <w:t>la 24</w:t>
      </w:r>
      <w:r w:rsidRPr="00D4395F">
        <w:rPr>
          <w:b/>
          <w:sz w:val="20"/>
        </w:rPr>
        <w:t xml:space="preserve"> – </w:t>
      </w:r>
      <w:r w:rsidR="00003DEC" w:rsidRPr="00D4395F">
        <w:rPr>
          <w:b/>
          <w:sz w:val="20"/>
        </w:rPr>
        <w:t>Valor das</w:t>
      </w:r>
      <w:r w:rsidRPr="00D4395F">
        <w:rPr>
          <w:b/>
          <w:sz w:val="20"/>
        </w:rPr>
        <w:t xml:space="preserve"> empresas participantes / vencedoras por região</w:t>
      </w:r>
      <w:r w:rsidR="0083019C" w:rsidRPr="00D4395F">
        <w:rPr>
          <w:b/>
          <w:sz w:val="20"/>
        </w:rPr>
        <w:t xml:space="preserve"> – 2017 a 2020</w:t>
      </w:r>
    </w:p>
    <w:tbl>
      <w:tblPr>
        <w:tblW w:w="8221" w:type="dxa"/>
        <w:tblInd w:w="284" w:type="dxa"/>
        <w:tblCellMar>
          <w:left w:w="0" w:type="dxa"/>
          <w:right w:w="0" w:type="dxa"/>
        </w:tblCellMar>
        <w:tblLook w:val="04A0" w:firstRow="1" w:lastRow="0" w:firstColumn="1" w:lastColumn="0" w:noHBand="0" w:noVBand="1"/>
      </w:tblPr>
      <w:tblGrid>
        <w:gridCol w:w="1286"/>
        <w:gridCol w:w="1207"/>
        <w:gridCol w:w="1207"/>
        <w:gridCol w:w="1195"/>
        <w:gridCol w:w="1207"/>
        <w:gridCol w:w="1207"/>
        <w:gridCol w:w="912"/>
      </w:tblGrid>
      <w:tr w:rsidR="002F22FB" w14:paraId="4A88C8CA" w14:textId="77777777" w:rsidTr="00E67D5E">
        <w:trPr>
          <w:trHeight w:val="314"/>
        </w:trPr>
        <w:tc>
          <w:tcPr>
            <w:tcW w:w="12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92317" w14:textId="77777777" w:rsidR="002F22FB" w:rsidRDefault="002F22FB" w:rsidP="00EF0D90">
            <w:pPr>
              <w:ind w:left="-15"/>
              <w:rPr>
                <w:rFonts w:eastAsia="Times New Roman"/>
                <w:b/>
                <w:bCs/>
                <w:color w:val="000000"/>
                <w:sz w:val="20"/>
                <w:szCs w:val="20"/>
                <w:lang w:eastAsia="pt-BR"/>
              </w:rPr>
            </w:pPr>
            <w:r>
              <w:rPr>
                <w:b/>
                <w:bCs/>
                <w:color w:val="000000"/>
                <w:sz w:val="20"/>
                <w:szCs w:val="20"/>
              </w:rPr>
              <w:t>Valor  Vencedoras</w:t>
            </w:r>
          </w:p>
        </w:tc>
        <w:tc>
          <w:tcPr>
            <w:tcW w:w="120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41601" w14:textId="77777777" w:rsidR="002F22FB" w:rsidRDefault="002F22FB">
            <w:pPr>
              <w:jc w:val="center"/>
              <w:rPr>
                <w:b/>
                <w:bCs/>
                <w:color w:val="000000"/>
                <w:sz w:val="20"/>
                <w:szCs w:val="20"/>
              </w:rPr>
            </w:pPr>
            <w:r>
              <w:rPr>
                <w:b/>
                <w:bCs/>
                <w:color w:val="000000"/>
                <w:sz w:val="20"/>
                <w:szCs w:val="20"/>
              </w:rPr>
              <w:t>2017</w:t>
            </w:r>
          </w:p>
        </w:tc>
        <w:tc>
          <w:tcPr>
            <w:tcW w:w="120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CE660" w14:textId="77777777" w:rsidR="002F22FB" w:rsidRDefault="002F22FB">
            <w:pPr>
              <w:jc w:val="center"/>
              <w:rPr>
                <w:b/>
                <w:bCs/>
                <w:color w:val="000000"/>
                <w:sz w:val="20"/>
                <w:szCs w:val="20"/>
              </w:rPr>
            </w:pPr>
            <w:r>
              <w:rPr>
                <w:b/>
                <w:bCs/>
                <w:color w:val="000000"/>
                <w:sz w:val="20"/>
                <w:szCs w:val="20"/>
              </w:rPr>
              <w:t>2018</w:t>
            </w:r>
          </w:p>
        </w:tc>
        <w:tc>
          <w:tcPr>
            <w:tcW w:w="11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ECBAF" w14:textId="77777777" w:rsidR="002F22FB" w:rsidRDefault="002F22FB">
            <w:pPr>
              <w:jc w:val="center"/>
              <w:rPr>
                <w:b/>
                <w:bCs/>
                <w:color w:val="000000"/>
                <w:sz w:val="20"/>
                <w:szCs w:val="20"/>
              </w:rPr>
            </w:pPr>
            <w:r>
              <w:rPr>
                <w:b/>
                <w:bCs/>
                <w:color w:val="000000"/>
                <w:sz w:val="20"/>
                <w:szCs w:val="20"/>
              </w:rPr>
              <w:t>2019</w:t>
            </w:r>
          </w:p>
        </w:tc>
        <w:tc>
          <w:tcPr>
            <w:tcW w:w="120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8FE79" w14:textId="77777777" w:rsidR="002F22FB" w:rsidRDefault="002F22FB">
            <w:pPr>
              <w:jc w:val="center"/>
              <w:rPr>
                <w:b/>
                <w:bCs/>
                <w:color w:val="000000"/>
                <w:sz w:val="20"/>
                <w:szCs w:val="20"/>
              </w:rPr>
            </w:pPr>
            <w:r>
              <w:rPr>
                <w:b/>
                <w:bCs/>
                <w:color w:val="000000"/>
                <w:sz w:val="20"/>
                <w:szCs w:val="20"/>
              </w:rPr>
              <w:t>2020</w:t>
            </w:r>
          </w:p>
        </w:tc>
        <w:tc>
          <w:tcPr>
            <w:tcW w:w="120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73236" w14:textId="77777777" w:rsidR="002F22FB" w:rsidRDefault="002F22FB">
            <w:pPr>
              <w:jc w:val="center"/>
              <w:rPr>
                <w:b/>
                <w:bCs/>
                <w:color w:val="000000"/>
                <w:sz w:val="20"/>
                <w:szCs w:val="20"/>
              </w:rPr>
            </w:pPr>
            <w:r>
              <w:rPr>
                <w:b/>
                <w:bCs/>
                <w:color w:val="000000"/>
                <w:sz w:val="20"/>
                <w:szCs w:val="20"/>
              </w:rPr>
              <w:t>Total</w:t>
            </w:r>
          </w:p>
        </w:tc>
        <w:tc>
          <w:tcPr>
            <w:tcW w:w="912"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74E1BAF" w14:textId="77777777" w:rsidR="002F22FB" w:rsidRDefault="002F22FB">
            <w:pPr>
              <w:jc w:val="center"/>
              <w:rPr>
                <w:b/>
                <w:bCs/>
                <w:color w:val="000000"/>
                <w:sz w:val="20"/>
                <w:szCs w:val="20"/>
              </w:rPr>
            </w:pPr>
            <w:r>
              <w:rPr>
                <w:b/>
                <w:bCs/>
                <w:color w:val="000000"/>
                <w:sz w:val="20"/>
                <w:szCs w:val="20"/>
              </w:rPr>
              <w:t>%</w:t>
            </w:r>
          </w:p>
        </w:tc>
      </w:tr>
      <w:tr w:rsidR="002F22FB" w14:paraId="164FDD24" w14:textId="77777777" w:rsidTr="00E67D5E">
        <w:trPr>
          <w:trHeight w:val="314"/>
        </w:trPr>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BBA68" w14:textId="77777777" w:rsidR="002F22FB" w:rsidRDefault="002F22FB" w:rsidP="00EF0D90">
            <w:pPr>
              <w:ind w:left="-15"/>
              <w:rPr>
                <w:color w:val="000000"/>
                <w:sz w:val="20"/>
                <w:szCs w:val="20"/>
              </w:rPr>
            </w:pPr>
            <w:r>
              <w:rPr>
                <w:color w:val="000000"/>
                <w:sz w:val="20"/>
                <w:szCs w:val="20"/>
              </w:rPr>
              <w:t>Empresas de Taió</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B1D7F" w14:textId="77777777" w:rsidR="002F22FB" w:rsidRDefault="002F22FB">
            <w:pPr>
              <w:jc w:val="center"/>
              <w:rPr>
                <w:color w:val="000000"/>
                <w:sz w:val="20"/>
                <w:szCs w:val="20"/>
              </w:rPr>
            </w:pPr>
            <w:r>
              <w:rPr>
                <w:color w:val="000000"/>
                <w:sz w:val="20"/>
                <w:szCs w:val="20"/>
              </w:rPr>
              <w:t>4.041.684,17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75266" w14:textId="77777777" w:rsidR="002F22FB" w:rsidRDefault="002F22FB">
            <w:pPr>
              <w:jc w:val="center"/>
              <w:rPr>
                <w:color w:val="000000"/>
                <w:sz w:val="20"/>
                <w:szCs w:val="20"/>
              </w:rPr>
            </w:pPr>
            <w:r>
              <w:rPr>
                <w:color w:val="000000"/>
                <w:sz w:val="20"/>
                <w:szCs w:val="20"/>
              </w:rPr>
              <w:t>5.180.784,07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0F4EA" w14:textId="77777777" w:rsidR="002F22FB" w:rsidRDefault="002F22FB">
            <w:pPr>
              <w:jc w:val="center"/>
              <w:rPr>
                <w:color w:val="000000"/>
                <w:sz w:val="20"/>
                <w:szCs w:val="20"/>
              </w:rPr>
            </w:pPr>
            <w:r>
              <w:rPr>
                <w:color w:val="000000"/>
                <w:sz w:val="20"/>
                <w:szCs w:val="20"/>
              </w:rPr>
              <w:t>5.795.730,71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07106" w14:textId="77777777" w:rsidR="002F22FB" w:rsidRDefault="002F22FB">
            <w:pPr>
              <w:jc w:val="center"/>
              <w:rPr>
                <w:color w:val="000000"/>
                <w:sz w:val="20"/>
                <w:szCs w:val="20"/>
              </w:rPr>
            </w:pPr>
            <w:r>
              <w:rPr>
                <w:color w:val="000000"/>
                <w:sz w:val="20"/>
                <w:szCs w:val="20"/>
              </w:rPr>
              <w:t>7.691.497,92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9CCDFF9" w14:textId="77777777" w:rsidR="002F22FB" w:rsidRDefault="002F22FB">
            <w:pPr>
              <w:jc w:val="center"/>
              <w:rPr>
                <w:color w:val="000000"/>
                <w:sz w:val="20"/>
                <w:szCs w:val="20"/>
              </w:rPr>
            </w:pPr>
            <w:r>
              <w:rPr>
                <w:color w:val="000000"/>
                <w:sz w:val="20"/>
                <w:szCs w:val="20"/>
              </w:rPr>
              <w:t>22.709.696,87</w:t>
            </w:r>
          </w:p>
        </w:tc>
        <w:tc>
          <w:tcPr>
            <w:tcW w:w="912"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3B949C5" w14:textId="77777777" w:rsidR="002F22FB" w:rsidRDefault="002F22FB">
            <w:pPr>
              <w:jc w:val="center"/>
              <w:rPr>
                <w:color w:val="000000"/>
                <w:sz w:val="20"/>
                <w:szCs w:val="20"/>
              </w:rPr>
            </w:pPr>
            <w:r>
              <w:rPr>
                <w:color w:val="000000"/>
                <w:sz w:val="20"/>
                <w:szCs w:val="20"/>
              </w:rPr>
              <w:t>34,36%</w:t>
            </w:r>
          </w:p>
        </w:tc>
      </w:tr>
      <w:tr w:rsidR="002F22FB" w14:paraId="0723C298" w14:textId="77777777" w:rsidTr="00E67D5E">
        <w:trPr>
          <w:trHeight w:val="314"/>
        </w:trPr>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36800" w14:textId="77777777" w:rsidR="002F22FB" w:rsidRDefault="002F22FB">
            <w:pPr>
              <w:rPr>
                <w:color w:val="000000"/>
                <w:sz w:val="20"/>
                <w:szCs w:val="20"/>
              </w:rPr>
            </w:pPr>
            <w:r>
              <w:rPr>
                <w:color w:val="000000"/>
                <w:sz w:val="20"/>
                <w:szCs w:val="20"/>
              </w:rPr>
              <w:t>Empr. do Alto Vale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98B22" w14:textId="77777777" w:rsidR="002F22FB" w:rsidRDefault="002F22FB">
            <w:pPr>
              <w:jc w:val="center"/>
              <w:rPr>
                <w:color w:val="000000"/>
                <w:sz w:val="20"/>
                <w:szCs w:val="20"/>
              </w:rPr>
            </w:pPr>
            <w:r>
              <w:rPr>
                <w:color w:val="000000"/>
                <w:sz w:val="20"/>
                <w:szCs w:val="20"/>
              </w:rPr>
              <w:t>3.670.227,55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B8DF7" w14:textId="77777777" w:rsidR="002F22FB" w:rsidRDefault="002F22FB">
            <w:pPr>
              <w:jc w:val="center"/>
              <w:rPr>
                <w:color w:val="000000"/>
                <w:sz w:val="20"/>
                <w:szCs w:val="20"/>
              </w:rPr>
            </w:pPr>
            <w:r>
              <w:rPr>
                <w:color w:val="000000"/>
                <w:sz w:val="20"/>
                <w:szCs w:val="20"/>
              </w:rPr>
              <w:t>3.966.290,46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204E2" w14:textId="77777777" w:rsidR="002F22FB" w:rsidRDefault="002F22FB">
            <w:pPr>
              <w:jc w:val="center"/>
              <w:rPr>
                <w:color w:val="000000"/>
                <w:sz w:val="20"/>
                <w:szCs w:val="20"/>
              </w:rPr>
            </w:pPr>
            <w:r>
              <w:rPr>
                <w:color w:val="000000"/>
                <w:sz w:val="20"/>
                <w:szCs w:val="20"/>
              </w:rPr>
              <w:t>9.019.975,49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24F3B" w14:textId="77777777" w:rsidR="002F22FB" w:rsidRDefault="002F22FB">
            <w:pPr>
              <w:jc w:val="center"/>
              <w:rPr>
                <w:color w:val="000000"/>
                <w:sz w:val="20"/>
                <w:szCs w:val="20"/>
              </w:rPr>
            </w:pPr>
            <w:r>
              <w:rPr>
                <w:color w:val="000000"/>
                <w:sz w:val="20"/>
                <w:szCs w:val="20"/>
              </w:rPr>
              <w:t>6.493.798,95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8A67176" w14:textId="77777777" w:rsidR="002F22FB" w:rsidRDefault="002F22FB">
            <w:pPr>
              <w:jc w:val="center"/>
              <w:rPr>
                <w:color w:val="000000"/>
                <w:sz w:val="20"/>
                <w:szCs w:val="20"/>
              </w:rPr>
            </w:pPr>
            <w:r>
              <w:rPr>
                <w:color w:val="000000"/>
                <w:sz w:val="20"/>
                <w:szCs w:val="20"/>
              </w:rPr>
              <w:t>23.150.292,45</w:t>
            </w:r>
          </w:p>
        </w:tc>
        <w:tc>
          <w:tcPr>
            <w:tcW w:w="912"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45B8C57" w14:textId="77777777" w:rsidR="002F22FB" w:rsidRDefault="002F22FB">
            <w:pPr>
              <w:jc w:val="center"/>
              <w:rPr>
                <w:color w:val="000000"/>
                <w:sz w:val="20"/>
                <w:szCs w:val="20"/>
              </w:rPr>
            </w:pPr>
            <w:r>
              <w:rPr>
                <w:color w:val="000000"/>
                <w:sz w:val="20"/>
                <w:szCs w:val="20"/>
              </w:rPr>
              <w:t>35,03%</w:t>
            </w:r>
          </w:p>
        </w:tc>
      </w:tr>
      <w:tr w:rsidR="002F22FB" w14:paraId="6A712C47" w14:textId="77777777" w:rsidTr="00E67D5E">
        <w:trPr>
          <w:trHeight w:val="314"/>
        </w:trPr>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D04A9" w14:textId="0EDF5551" w:rsidR="002F22FB" w:rsidRDefault="002F22FB">
            <w:pPr>
              <w:rPr>
                <w:color w:val="000000"/>
                <w:sz w:val="20"/>
                <w:szCs w:val="20"/>
              </w:rPr>
            </w:pPr>
            <w:r>
              <w:rPr>
                <w:color w:val="000000"/>
                <w:sz w:val="20"/>
                <w:szCs w:val="20"/>
              </w:rPr>
              <w:t>Empresas de fora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866C9" w14:textId="77777777" w:rsidR="002F22FB" w:rsidRDefault="002F22FB">
            <w:pPr>
              <w:jc w:val="center"/>
              <w:rPr>
                <w:color w:val="000000"/>
                <w:sz w:val="20"/>
                <w:szCs w:val="20"/>
              </w:rPr>
            </w:pPr>
            <w:r>
              <w:rPr>
                <w:color w:val="000000"/>
                <w:sz w:val="20"/>
                <w:szCs w:val="20"/>
              </w:rPr>
              <w:t>3.990.316,36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C3159" w14:textId="77777777" w:rsidR="002F22FB" w:rsidRDefault="002F22FB">
            <w:pPr>
              <w:jc w:val="center"/>
              <w:rPr>
                <w:color w:val="000000"/>
                <w:sz w:val="20"/>
                <w:szCs w:val="20"/>
              </w:rPr>
            </w:pPr>
            <w:r>
              <w:rPr>
                <w:color w:val="000000"/>
                <w:sz w:val="20"/>
                <w:szCs w:val="20"/>
              </w:rPr>
              <w:t>5.300.488,73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DE558" w14:textId="77777777" w:rsidR="002F22FB" w:rsidRDefault="002F22FB">
            <w:pPr>
              <w:jc w:val="center"/>
              <w:rPr>
                <w:color w:val="000000"/>
                <w:sz w:val="20"/>
                <w:szCs w:val="20"/>
              </w:rPr>
            </w:pPr>
            <w:r>
              <w:rPr>
                <w:color w:val="000000"/>
                <w:sz w:val="20"/>
                <w:szCs w:val="20"/>
              </w:rPr>
              <w:t>4.906.375,91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43BC8" w14:textId="77777777" w:rsidR="002F22FB" w:rsidRDefault="002F22FB">
            <w:pPr>
              <w:jc w:val="center"/>
              <w:rPr>
                <w:color w:val="000000"/>
                <w:sz w:val="20"/>
                <w:szCs w:val="20"/>
              </w:rPr>
            </w:pPr>
            <w:r>
              <w:rPr>
                <w:color w:val="000000"/>
                <w:sz w:val="20"/>
                <w:szCs w:val="20"/>
              </w:rPr>
              <w:t>6.031.086,38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6364731" w14:textId="77777777" w:rsidR="002F22FB" w:rsidRDefault="002F22FB">
            <w:pPr>
              <w:jc w:val="center"/>
              <w:rPr>
                <w:color w:val="000000"/>
                <w:sz w:val="20"/>
                <w:szCs w:val="20"/>
              </w:rPr>
            </w:pPr>
            <w:r>
              <w:rPr>
                <w:color w:val="000000"/>
                <w:sz w:val="20"/>
                <w:szCs w:val="20"/>
              </w:rPr>
              <w:t>20.228.267,38</w:t>
            </w:r>
          </w:p>
        </w:tc>
        <w:tc>
          <w:tcPr>
            <w:tcW w:w="912"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B55ECFB" w14:textId="77777777" w:rsidR="002F22FB" w:rsidRDefault="002F22FB">
            <w:pPr>
              <w:jc w:val="center"/>
              <w:rPr>
                <w:color w:val="000000"/>
                <w:sz w:val="20"/>
                <w:szCs w:val="20"/>
              </w:rPr>
            </w:pPr>
            <w:r>
              <w:rPr>
                <w:color w:val="000000"/>
                <w:sz w:val="20"/>
                <w:szCs w:val="20"/>
              </w:rPr>
              <w:t>30,61%</w:t>
            </w:r>
          </w:p>
        </w:tc>
      </w:tr>
      <w:tr w:rsidR="002F22FB" w14:paraId="48B62165" w14:textId="77777777" w:rsidTr="00E67D5E">
        <w:trPr>
          <w:trHeight w:val="314"/>
        </w:trPr>
        <w:tc>
          <w:tcPr>
            <w:tcW w:w="12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C8A7E" w14:textId="77777777" w:rsidR="002F22FB" w:rsidRDefault="002F22FB">
            <w:pPr>
              <w:rPr>
                <w:b/>
                <w:bCs/>
                <w:color w:val="000000"/>
                <w:sz w:val="20"/>
                <w:szCs w:val="20"/>
              </w:rPr>
            </w:pPr>
            <w:r>
              <w:rPr>
                <w:b/>
                <w:bCs/>
                <w:color w:val="000000"/>
                <w:sz w:val="20"/>
                <w:szCs w:val="20"/>
              </w:rPr>
              <w:t>Total</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9D06C" w14:textId="77777777" w:rsidR="002F22FB" w:rsidRDefault="002F22FB">
            <w:pPr>
              <w:jc w:val="center"/>
              <w:rPr>
                <w:b/>
                <w:bCs/>
                <w:color w:val="000000"/>
                <w:sz w:val="20"/>
                <w:szCs w:val="20"/>
              </w:rPr>
            </w:pPr>
            <w:r>
              <w:rPr>
                <w:b/>
                <w:bCs/>
                <w:color w:val="000000"/>
                <w:sz w:val="20"/>
                <w:szCs w:val="20"/>
              </w:rPr>
              <w:t>11.702.228,08</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DB879" w14:textId="77777777" w:rsidR="002F22FB" w:rsidRDefault="002F22FB">
            <w:pPr>
              <w:jc w:val="center"/>
              <w:rPr>
                <w:b/>
                <w:bCs/>
                <w:color w:val="000000"/>
                <w:sz w:val="20"/>
                <w:szCs w:val="20"/>
              </w:rPr>
            </w:pPr>
            <w:r>
              <w:rPr>
                <w:b/>
                <w:bCs/>
                <w:color w:val="000000"/>
                <w:sz w:val="20"/>
                <w:szCs w:val="20"/>
              </w:rPr>
              <w:t>14.447.563,26</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AA963" w14:textId="27114B0C" w:rsidR="002F22FB" w:rsidRDefault="002F22FB">
            <w:pPr>
              <w:jc w:val="center"/>
              <w:rPr>
                <w:b/>
                <w:bCs/>
                <w:color w:val="000000"/>
                <w:sz w:val="20"/>
                <w:szCs w:val="20"/>
              </w:rPr>
            </w:pPr>
            <w:r>
              <w:rPr>
                <w:b/>
                <w:bCs/>
                <w:color w:val="000000"/>
                <w:sz w:val="20"/>
                <w:szCs w:val="20"/>
              </w:rPr>
              <w:t>19</w:t>
            </w:r>
            <w:r w:rsidR="00163885">
              <w:rPr>
                <w:b/>
                <w:bCs/>
                <w:color w:val="000000"/>
                <w:sz w:val="20"/>
                <w:szCs w:val="20"/>
              </w:rPr>
              <w:t>.</w:t>
            </w:r>
            <w:r>
              <w:rPr>
                <w:b/>
                <w:bCs/>
                <w:color w:val="000000"/>
                <w:sz w:val="20"/>
                <w:szCs w:val="20"/>
              </w:rPr>
              <w:t>722</w:t>
            </w:r>
            <w:r w:rsidR="00163885">
              <w:rPr>
                <w:b/>
                <w:bCs/>
                <w:color w:val="000000"/>
                <w:sz w:val="20"/>
                <w:szCs w:val="20"/>
              </w:rPr>
              <w:t>.</w:t>
            </w:r>
            <w:r>
              <w:rPr>
                <w:b/>
                <w:bCs/>
                <w:color w:val="000000"/>
                <w:sz w:val="20"/>
                <w:szCs w:val="20"/>
              </w:rPr>
              <w:t>082,11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113FB" w14:textId="77777777" w:rsidR="002F22FB" w:rsidRDefault="002F22FB">
            <w:pPr>
              <w:jc w:val="center"/>
              <w:rPr>
                <w:b/>
                <w:bCs/>
                <w:color w:val="000000"/>
                <w:sz w:val="20"/>
                <w:szCs w:val="20"/>
              </w:rPr>
            </w:pPr>
            <w:r>
              <w:rPr>
                <w:b/>
                <w:bCs/>
                <w:color w:val="000000"/>
                <w:sz w:val="20"/>
                <w:szCs w:val="20"/>
              </w:rPr>
              <w:t>20.216.383,25</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855EF" w14:textId="77777777" w:rsidR="002F22FB" w:rsidRDefault="002F22FB">
            <w:pPr>
              <w:jc w:val="center"/>
              <w:rPr>
                <w:b/>
                <w:bCs/>
                <w:color w:val="000000"/>
                <w:sz w:val="20"/>
                <w:szCs w:val="20"/>
              </w:rPr>
            </w:pPr>
            <w:r>
              <w:rPr>
                <w:b/>
                <w:bCs/>
                <w:color w:val="000000"/>
                <w:sz w:val="20"/>
                <w:szCs w:val="20"/>
              </w:rPr>
              <w:t>66.088.256,70</w:t>
            </w:r>
          </w:p>
        </w:tc>
        <w:tc>
          <w:tcPr>
            <w:tcW w:w="912"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9756BD2" w14:textId="77777777" w:rsidR="002F22FB" w:rsidRDefault="002F22FB">
            <w:pPr>
              <w:jc w:val="center"/>
              <w:rPr>
                <w:b/>
                <w:bCs/>
                <w:color w:val="000000"/>
                <w:sz w:val="20"/>
                <w:szCs w:val="20"/>
              </w:rPr>
            </w:pPr>
            <w:r>
              <w:rPr>
                <w:b/>
                <w:bCs/>
                <w:color w:val="000000"/>
                <w:sz w:val="20"/>
                <w:szCs w:val="20"/>
              </w:rPr>
              <w:t>100,00%</w:t>
            </w:r>
          </w:p>
        </w:tc>
      </w:tr>
    </w:tbl>
    <w:p w14:paraId="76F6FEE5" w14:textId="7F304654" w:rsidR="005F768C" w:rsidRDefault="00E67D5E" w:rsidP="007766F4">
      <w:pPr>
        <w:spacing w:after="160" w:line="259" w:lineRule="auto"/>
        <w:ind w:left="284"/>
        <w:rPr>
          <w:sz w:val="20"/>
          <w:szCs w:val="20"/>
        </w:rPr>
      </w:pPr>
      <w:r>
        <w:rPr>
          <w:sz w:val="20"/>
          <w:szCs w:val="20"/>
        </w:rPr>
        <w:t>Fonte: Dados da pesquisa (2021)</w:t>
      </w:r>
    </w:p>
    <w:p w14:paraId="4A084098" w14:textId="45E4CE23" w:rsidR="00DC44A1" w:rsidRDefault="007766F4" w:rsidP="00D530C1">
      <w:pPr>
        <w:pStyle w:val="UnidaviTexto-Espao15"/>
      </w:pPr>
      <w:r>
        <w:lastRenderedPageBreak/>
        <w:t>Como apanhado geral a Tabela 24 apresenta que o</w:t>
      </w:r>
      <w:r w:rsidR="00DC44A1">
        <w:t xml:space="preserve"> município de Taió licitou entre 2017 a 2020, um valor total de R$ 66.088.256,70. Desse total geral, as empresas participantes do município de Taió somaram um valor de R$ 22.709.696,87. As empresas participantes do Alto Vale do Itajaí, somaram um valor de R$ 23.150.292,45 no decorrer dos quatro anos estudados. Já as empresas de fora do Alto Vale do Itajaí ficaram com a terceira posição e somou um total de R$ 20.228.267.38. As empresas do Alto Vale do Itajaí representaram a maior parcela de fornecimento ao município entre 2017 a 2020.</w:t>
      </w:r>
    </w:p>
    <w:p w14:paraId="20AC2265" w14:textId="77777777" w:rsidR="00003DEC" w:rsidRDefault="00003DEC" w:rsidP="007766F4">
      <w:pPr>
        <w:pStyle w:val="UNIDAVISEOSECUNDARIA"/>
        <w:rPr>
          <w:lang w:val="pt-BR"/>
        </w:rPr>
      </w:pPr>
    </w:p>
    <w:p w14:paraId="6AA3E531" w14:textId="6064DB24" w:rsidR="002F22FB" w:rsidRPr="00E67D5E" w:rsidRDefault="00003DEC" w:rsidP="00E67D5E">
      <w:pPr>
        <w:pStyle w:val="UnidaviTexto-Espao15"/>
        <w:spacing w:line="240" w:lineRule="auto"/>
        <w:ind w:left="284" w:firstLine="0"/>
        <w:rPr>
          <w:b/>
        </w:rPr>
      </w:pPr>
      <w:r w:rsidRPr="00E67D5E">
        <w:rPr>
          <w:b/>
          <w:sz w:val="20"/>
        </w:rPr>
        <w:t>Tabe</w:t>
      </w:r>
      <w:r w:rsidR="00165741" w:rsidRPr="00E67D5E">
        <w:rPr>
          <w:b/>
          <w:sz w:val="20"/>
        </w:rPr>
        <w:t>la 25</w:t>
      </w:r>
      <w:r w:rsidR="00D530C1" w:rsidRPr="00E67D5E">
        <w:rPr>
          <w:b/>
          <w:sz w:val="20"/>
        </w:rPr>
        <w:t xml:space="preserve"> – Quantidade de</w:t>
      </w:r>
      <w:r w:rsidRPr="00E67D5E">
        <w:rPr>
          <w:b/>
          <w:sz w:val="20"/>
        </w:rPr>
        <w:t xml:space="preserve"> empresas vencedoras enquadr</w:t>
      </w:r>
      <w:r w:rsidR="00D530C1" w:rsidRPr="00E67D5E">
        <w:rPr>
          <w:b/>
          <w:sz w:val="20"/>
        </w:rPr>
        <w:t>adas como ME / EPP – 2017 a 2020</w:t>
      </w:r>
    </w:p>
    <w:tbl>
      <w:tblPr>
        <w:tblW w:w="8221" w:type="dxa"/>
        <w:tblInd w:w="284" w:type="dxa"/>
        <w:tblCellMar>
          <w:left w:w="70" w:type="dxa"/>
          <w:right w:w="70" w:type="dxa"/>
        </w:tblCellMar>
        <w:tblLook w:val="04A0" w:firstRow="1" w:lastRow="0" w:firstColumn="1" w:lastColumn="0" w:noHBand="0" w:noVBand="1"/>
      </w:tblPr>
      <w:tblGrid>
        <w:gridCol w:w="1376"/>
        <w:gridCol w:w="1034"/>
        <w:gridCol w:w="1134"/>
        <w:gridCol w:w="1275"/>
        <w:gridCol w:w="1276"/>
        <w:gridCol w:w="1276"/>
        <w:gridCol w:w="890"/>
      </w:tblGrid>
      <w:tr w:rsidR="00D530C1" w:rsidRPr="00D530C1" w14:paraId="12CCBE22" w14:textId="77777777" w:rsidTr="00E67D5E">
        <w:trPr>
          <w:trHeight w:val="318"/>
        </w:trPr>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74AACF3E" w14:textId="77777777" w:rsidR="00D530C1" w:rsidRPr="00D530C1" w:rsidRDefault="00D530C1" w:rsidP="00EF0D90">
            <w:pPr>
              <w:ind w:left="-69"/>
              <w:rPr>
                <w:rFonts w:eastAsia="Times New Roman"/>
                <w:b/>
                <w:bCs/>
                <w:color w:val="000000"/>
                <w:sz w:val="20"/>
                <w:szCs w:val="20"/>
                <w:lang w:eastAsia="pt-BR"/>
              </w:rPr>
            </w:pPr>
            <w:r w:rsidRPr="00D530C1">
              <w:rPr>
                <w:rFonts w:eastAsia="Times New Roman"/>
                <w:b/>
                <w:bCs/>
                <w:color w:val="000000"/>
                <w:sz w:val="20"/>
                <w:szCs w:val="20"/>
                <w:lang w:eastAsia="pt-BR"/>
              </w:rPr>
              <w:t>ME / EPP Quant.</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14:paraId="57DD836B" w14:textId="77777777" w:rsidR="00D530C1" w:rsidRPr="00D530C1" w:rsidRDefault="00D530C1" w:rsidP="00D530C1">
            <w:pPr>
              <w:jc w:val="center"/>
              <w:rPr>
                <w:rFonts w:eastAsia="Times New Roman"/>
                <w:b/>
                <w:bCs/>
                <w:color w:val="000000"/>
                <w:sz w:val="20"/>
                <w:szCs w:val="20"/>
                <w:lang w:eastAsia="pt-BR"/>
              </w:rPr>
            </w:pPr>
            <w:r w:rsidRPr="00D530C1">
              <w:rPr>
                <w:rFonts w:eastAsia="Times New Roman"/>
                <w:b/>
                <w:bCs/>
                <w:color w:val="000000"/>
                <w:sz w:val="20"/>
                <w:szCs w:val="20"/>
                <w:lang w:eastAsia="pt-BR"/>
              </w:rPr>
              <w:t>2017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807907C" w14:textId="77777777" w:rsidR="00D530C1" w:rsidRPr="00D530C1" w:rsidRDefault="00D530C1" w:rsidP="00D530C1">
            <w:pPr>
              <w:jc w:val="center"/>
              <w:rPr>
                <w:rFonts w:eastAsia="Times New Roman"/>
                <w:b/>
                <w:bCs/>
                <w:color w:val="000000"/>
                <w:sz w:val="20"/>
                <w:szCs w:val="20"/>
                <w:lang w:eastAsia="pt-BR"/>
              </w:rPr>
            </w:pPr>
            <w:r w:rsidRPr="00D530C1">
              <w:rPr>
                <w:rFonts w:eastAsia="Times New Roman"/>
                <w:b/>
                <w:bCs/>
                <w:color w:val="000000"/>
                <w:sz w:val="20"/>
                <w:szCs w:val="20"/>
                <w:lang w:eastAsia="pt-BR"/>
              </w:rPr>
              <w:t>2018</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53EE57A" w14:textId="77777777" w:rsidR="00D530C1" w:rsidRPr="00D530C1" w:rsidRDefault="00D530C1" w:rsidP="00D530C1">
            <w:pPr>
              <w:jc w:val="center"/>
              <w:rPr>
                <w:rFonts w:eastAsia="Times New Roman"/>
                <w:b/>
                <w:bCs/>
                <w:color w:val="000000"/>
                <w:sz w:val="20"/>
                <w:szCs w:val="20"/>
                <w:lang w:eastAsia="pt-BR"/>
              </w:rPr>
            </w:pPr>
            <w:r w:rsidRPr="00D530C1">
              <w:rPr>
                <w:rFonts w:eastAsia="Times New Roman"/>
                <w:b/>
                <w:bCs/>
                <w:color w:val="000000"/>
                <w:sz w:val="20"/>
                <w:szCs w:val="20"/>
                <w:lang w:eastAsia="pt-BR"/>
              </w:rPr>
              <w:t>2019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8F63988" w14:textId="77777777" w:rsidR="00D530C1" w:rsidRPr="00D530C1" w:rsidRDefault="00D530C1" w:rsidP="00D530C1">
            <w:pPr>
              <w:jc w:val="center"/>
              <w:rPr>
                <w:rFonts w:eastAsia="Times New Roman"/>
                <w:b/>
                <w:bCs/>
                <w:color w:val="000000"/>
                <w:sz w:val="20"/>
                <w:szCs w:val="20"/>
                <w:lang w:eastAsia="pt-BR"/>
              </w:rPr>
            </w:pPr>
            <w:r w:rsidRPr="00D530C1">
              <w:rPr>
                <w:rFonts w:eastAsia="Times New Roman"/>
                <w:b/>
                <w:bCs/>
                <w:color w:val="000000"/>
                <w:sz w:val="20"/>
                <w:szCs w:val="20"/>
                <w:lang w:eastAsia="pt-BR"/>
              </w:rPr>
              <w:t>2020</w:t>
            </w:r>
          </w:p>
        </w:tc>
        <w:tc>
          <w:tcPr>
            <w:tcW w:w="1276" w:type="dxa"/>
            <w:tcBorders>
              <w:top w:val="single" w:sz="4" w:space="0" w:color="auto"/>
              <w:left w:val="nil"/>
              <w:bottom w:val="single" w:sz="4" w:space="0" w:color="auto"/>
              <w:right w:val="nil"/>
            </w:tcBorders>
            <w:shd w:val="clear" w:color="auto" w:fill="auto"/>
            <w:noWrap/>
            <w:vAlign w:val="bottom"/>
            <w:hideMark/>
          </w:tcPr>
          <w:p w14:paraId="790A09CB" w14:textId="77777777" w:rsidR="00D530C1" w:rsidRPr="00D530C1" w:rsidRDefault="00D530C1" w:rsidP="00D530C1">
            <w:pPr>
              <w:jc w:val="center"/>
              <w:rPr>
                <w:rFonts w:eastAsia="Times New Roman"/>
                <w:b/>
                <w:bCs/>
                <w:color w:val="000000"/>
                <w:sz w:val="20"/>
                <w:szCs w:val="20"/>
                <w:lang w:eastAsia="pt-BR"/>
              </w:rPr>
            </w:pPr>
            <w:r w:rsidRPr="00D530C1">
              <w:rPr>
                <w:rFonts w:eastAsia="Times New Roman"/>
                <w:b/>
                <w:bCs/>
                <w:color w:val="000000"/>
                <w:sz w:val="20"/>
                <w:szCs w:val="20"/>
                <w:lang w:eastAsia="pt-BR"/>
              </w:rPr>
              <w:t>Total</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14:paraId="1126A676" w14:textId="77777777" w:rsidR="00D530C1" w:rsidRPr="00D530C1" w:rsidRDefault="00D530C1" w:rsidP="00D530C1">
            <w:pPr>
              <w:jc w:val="center"/>
              <w:rPr>
                <w:rFonts w:eastAsia="Times New Roman"/>
                <w:b/>
                <w:bCs/>
                <w:color w:val="000000"/>
                <w:sz w:val="20"/>
                <w:szCs w:val="20"/>
                <w:lang w:eastAsia="pt-BR"/>
              </w:rPr>
            </w:pPr>
            <w:r w:rsidRPr="00D530C1">
              <w:rPr>
                <w:rFonts w:eastAsia="Times New Roman"/>
                <w:b/>
                <w:bCs/>
                <w:color w:val="000000"/>
                <w:sz w:val="20"/>
                <w:szCs w:val="20"/>
                <w:lang w:eastAsia="pt-BR"/>
              </w:rPr>
              <w:t>%</w:t>
            </w:r>
          </w:p>
        </w:tc>
      </w:tr>
      <w:tr w:rsidR="00D530C1" w:rsidRPr="00D530C1" w14:paraId="723966C5" w14:textId="77777777" w:rsidTr="00E67D5E">
        <w:trPr>
          <w:trHeight w:val="318"/>
        </w:trPr>
        <w:tc>
          <w:tcPr>
            <w:tcW w:w="1376" w:type="dxa"/>
            <w:tcBorders>
              <w:top w:val="nil"/>
              <w:left w:val="nil"/>
              <w:bottom w:val="single" w:sz="4" w:space="0" w:color="auto"/>
              <w:right w:val="single" w:sz="4" w:space="0" w:color="auto"/>
            </w:tcBorders>
            <w:shd w:val="clear" w:color="auto" w:fill="auto"/>
            <w:noWrap/>
            <w:vAlign w:val="bottom"/>
            <w:hideMark/>
          </w:tcPr>
          <w:p w14:paraId="53A6D9D8" w14:textId="77777777" w:rsidR="00D530C1" w:rsidRPr="00D530C1" w:rsidRDefault="00D530C1" w:rsidP="00EF0D90">
            <w:pPr>
              <w:ind w:left="-69"/>
              <w:rPr>
                <w:rFonts w:eastAsia="Times New Roman"/>
                <w:color w:val="000000"/>
                <w:sz w:val="20"/>
                <w:szCs w:val="20"/>
                <w:lang w:eastAsia="pt-BR"/>
              </w:rPr>
            </w:pPr>
            <w:r w:rsidRPr="00D530C1">
              <w:rPr>
                <w:rFonts w:eastAsia="Times New Roman"/>
                <w:color w:val="000000"/>
                <w:sz w:val="20"/>
                <w:szCs w:val="20"/>
                <w:lang w:eastAsia="pt-BR"/>
              </w:rPr>
              <w:t>Empresas de Taió</w:t>
            </w:r>
          </w:p>
        </w:tc>
        <w:tc>
          <w:tcPr>
            <w:tcW w:w="1034" w:type="dxa"/>
            <w:tcBorders>
              <w:top w:val="nil"/>
              <w:left w:val="nil"/>
              <w:bottom w:val="single" w:sz="4" w:space="0" w:color="auto"/>
              <w:right w:val="single" w:sz="4" w:space="0" w:color="auto"/>
            </w:tcBorders>
            <w:shd w:val="clear" w:color="auto" w:fill="auto"/>
            <w:noWrap/>
            <w:vAlign w:val="bottom"/>
            <w:hideMark/>
          </w:tcPr>
          <w:p w14:paraId="430015DA"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76</w:t>
            </w:r>
          </w:p>
        </w:tc>
        <w:tc>
          <w:tcPr>
            <w:tcW w:w="1134" w:type="dxa"/>
            <w:tcBorders>
              <w:top w:val="nil"/>
              <w:left w:val="nil"/>
              <w:bottom w:val="single" w:sz="4" w:space="0" w:color="auto"/>
              <w:right w:val="single" w:sz="4" w:space="0" w:color="auto"/>
            </w:tcBorders>
            <w:shd w:val="clear" w:color="auto" w:fill="auto"/>
            <w:noWrap/>
            <w:vAlign w:val="bottom"/>
            <w:hideMark/>
          </w:tcPr>
          <w:p w14:paraId="755312A0"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58</w:t>
            </w:r>
          </w:p>
        </w:tc>
        <w:tc>
          <w:tcPr>
            <w:tcW w:w="1275" w:type="dxa"/>
            <w:tcBorders>
              <w:top w:val="nil"/>
              <w:left w:val="nil"/>
              <w:bottom w:val="single" w:sz="4" w:space="0" w:color="auto"/>
              <w:right w:val="single" w:sz="4" w:space="0" w:color="auto"/>
            </w:tcBorders>
            <w:shd w:val="clear" w:color="auto" w:fill="auto"/>
            <w:noWrap/>
            <w:vAlign w:val="bottom"/>
            <w:hideMark/>
          </w:tcPr>
          <w:p w14:paraId="0EFE7A71"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74</w:t>
            </w:r>
          </w:p>
        </w:tc>
        <w:tc>
          <w:tcPr>
            <w:tcW w:w="1276" w:type="dxa"/>
            <w:tcBorders>
              <w:top w:val="nil"/>
              <w:left w:val="nil"/>
              <w:bottom w:val="single" w:sz="4" w:space="0" w:color="auto"/>
              <w:right w:val="single" w:sz="4" w:space="0" w:color="auto"/>
            </w:tcBorders>
            <w:shd w:val="clear" w:color="auto" w:fill="auto"/>
            <w:noWrap/>
            <w:vAlign w:val="bottom"/>
            <w:hideMark/>
          </w:tcPr>
          <w:p w14:paraId="53ABED55"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54</w:t>
            </w:r>
          </w:p>
        </w:tc>
        <w:tc>
          <w:tcPr>
            <w:tcW w:w="1276" w:type="dxa"/>
            <w:tcBorders>
              <w:top w:val="nil"/>
              <w:left w:val="nil"/>
              <w:bottom w:val="single" w:sz="4" w:space="0" w:color="auto"/>
              <w:right w:val="single" w:sz="4" w:space="0" w:color="auto"/>
            </w:tcBorders>
            <w:shd w:val="clear" w:color="auto" w:fill="auto"/>
            <w:noWrap/>
            <w:vAlign w:val="bottom"/>
            <w:hideMark/>
          </w:tcPr>
          <w:p w14:paraId="05BCBD22"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262</w:t>
            </w:r>
          </w:p>
        </w:tc>
        <w:tc>
          <w:tcPr>
            <w:tcW w:w="850" w:type="dxa"/>
            <w:tcBorders>
              <w:top w:val="nil"/>
              <w:left w:val="nil"/>
              <w:bottom w:val="single" w:sz="4" w:space="0" w:color="auto"/>
              <w:right w:val="nil"/>
            </w:tcBorders>
            <w:shd w:val="clear" w:color="auto" w:fill="auto"/>
            <w:noWrap/>
            <w:vAlign w:val="bottom"/>
            <w:hideMark/>
          </w:tcPr>
          <w:p w14:paraId="34B0805E"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42,46%</w:t>
            </w:r>
          </w:p>
        </w:tc>
      </w:tr>
      <w:tr w:rsidR="00D530C1" w:rsidRPr="00D530C1" w14:paraId="7CDD8413" w14:textId="77777777" w:rsidTr="00E67D5E">
        <w:trPr>
          <w:trHeight w:val="318"/>
        </w:trPr>
        <w:tc>
          <w:tcPr>
            <w:tcW w:w="1376" w:type="dxa"/>
            <w:tcBorders>
              <w:top w:val="nil"/>
              <w:left w:val="nil"/>
              <w:bottom w:val="single" w:sz="4" w:space="0" w:color="auto"/>
              <w:right w:val="single" w:sz="4" w:space="0" w:color="auto"/>
            </w:tcBorders>
            <w:shd w:val="clear" w:color="auto" w:fill="auto"/>
            <w:noWrap/>
            <w:vAlign w:val="bottom"/>
            <w:hideMark/>
          </w:tcPr>
          <w:p w14:paraId="1F287E7E" w14:textId="77777777" w:rsidR="00D530C1" w:rsidRPr="00D530C1" w:rsidRDefault="00D530C1" w:rsidP="00EF0D90">
            <w:pPr>
              <w:ind w:left="-69"/>
              <w:rPr>
                <w:rFonts w:eastAsia="Times New Roman"/>
                <w:color w:val="000000"/>
                <w:sz w:val="20"/>
                <w:szCs w:val="20"/>
                <w:lang w:eastAsia="pt-BR"/>
              </w:rPr>
            </w:pPr>
            <w:r w:rsidRPr="00D530C1">
              <w:rPr>
                <w:rFonts w:eastAsia="Times New Roman"/>
                <w:color w:val="000000"/>
                <w:sz w:val="20"/>
                <w:szCs w:val="20"/>
                <w:lang w:eastAsia="pt-BR"/>
              </w:rPr>
              <w:t>Emp. do Alto Vale</w:t>
            </w:r>
          </w:p>
        </w:tc>
        <w:tc>
          <w:tcPr>
            <w:tcW w:w="1034" w:type="dxa"/>
            <w:tcBorders>
              <w:top w:val="nil"/>
              <w:left w:val="nil"/>
              <w:bottom w:val="single" w:sz="4" w:space="0" w:color="auto"/>
              <w:right w:val="single" w:sz="4" w:space="0" w:color="auto"/>
            </w:tcBorders>
            <w:shd w:val="clear" w:color="auto" w:fill="auto"/>
            <w:noWrap/>
            <w:vAlign w:val="bottom"/>
            <w:hideMark/>
          </w:tcPr>
          <w:p w14:paraId="6F89630A"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26</w:t>
            </w:r>
          </w:p>
        </w:tc>
        <w:tc>
          <w:tcPr>
            <w:tcW w:w="1134" w:type="dxa"/>
            <w:tcBorders>
              <w:top w:val="nil"/>
              <w:left w:val="nil"/>
              <w:bottom w:val="single" w:sz="4" w:space="0" w:color="auto"/>
              <w:right w:val="single" w:sz="4" w:space="0" w:color="auto"/>
            </w:tcBorders>
            <w:shd w:val="clear" w:color="auto" w:fill="auto"/>
            <w:noWrap/>
            <w:vAlign w:val="bottom"/>
            <w:hideMark/>
          </w:tcPr>
          <w:p w14:paraId="04A96A7A"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26</w:t>
            </w:r>
          </w:p>
        </w:tc>
        <w:tc>
          <w:tcPr>
            <w:tcW w:w="1275" w:type="dxa"/>
            <w:tcBorders>
              <w:top w:val="nil"/>
              <w:left w:val="nil"/>
              <w:bottom w:val="single" w:sz="4" w:space="0" w:color="auto"/>
              <w:right w:val="single" w:sz="4" w:space="0" w:color="auto"/>
            </w:tcBorders>
            <w:shd w:val="clear" w:color="auto" w:fill="auto"/>
            <w:noWrap/>
            <w:vAlign w:val="bottom"/>
            <w:hideMark/>
          </w:tcPr>
          <w:p w14:paraId="726676E6"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40</w:t>
            </w:r>
          </w:p>
        </w:tc>
        <w:tc>
          <w:tcPr>
            <w:tcW w:w="1276" w:type="dxa"/>
            <w:tcBorders>
              <w:top w:val="nil"/>
              <w:left w:val="nil"/>
              <w:bottom w:val="single" w:sz="4" w:space="0" w:color="auto"/>
              <w:right w:val="single" w:sz="4" w:space="0" w:color="auto"/>
            </w:tcBorders>
            <w:shd w:val="clear" w:color="auto" w:fill="auto"/>
            <w:noWrap/>
            <w:vAlign w:val="bottom"/>
            <w:hideMark/>
          </w:tcPr>
          <w:p w14:paraId="5FEC58AD"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28</w:t>
            </w:r>
          </w:p>
        </w:tc>
        <w:tc>
          <w:tcPr>
            <w:tcW w:w="1276" w:type="dxa"/>
            <w:tcBorders>
              <w:top w:val="nil"/>
              <w:left w:val="nil"/>
              <w:bottom w:val="single" w:sz="4" w:space="0" w:color="auto"/>
              <w:right w:val="nil"/>
            </w:tcBorders>
            <w:shd w:val="clear" w:color="auto" w:fill="auto"/>
            <w:noWrap/>
            <w:vAlign w:val="bottom"/>
            <w:hideMark/>
          </w:tcPr>
          <w:p w14:paraId="0912E042"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120</w:t>
            </w:r>
          </w:p>
        </w:tc>
        <w:tc>
          <w:tcPr>
            <w:tcW w:w="850" w:type="dxa"/>
            <w:tcBorders>
              <w:top w:val="nil"/>
              <w:left w:val="single" w:sz="4" w:space="0" w:color="auto"/>
              <w:bottom w:val="single" w:sz="4" w:space="0" w:color="auto"/>
              <w:right w:val="nil"/>
            </w:tcBorders>
            <w:shd w:val="clear" w:color="auto" w:fill="auto"/>
            <w:noWrap/>
            <w:vAlign w:val="bottom"/>
            <w:hideMark/>
          </w:tcPr>
          <w:p w14:paraId="3431FDAC"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19,45%</w:t>
            </w:r>
          </w:p>
        </w:tc>
      </w:tr>
      <w:tr w:rsidR="00D530C1" w:rsidRPr="00D530C1" w14:paraId="02B053C8" w14:textId="77777777" w:rsidTr="00E67D5E">
        <w:trPr>
          <w:trHeight w:val="318"/>
        </w:trPr>
        <w:tc>
          <w:tcPr>
            <w:tcW w:w="1376" w:type="dxa"/>
            <w:tcBorders>
              <w:top w:val="nil"/>
              <w:left w:val="nil"/>
              <w:bottom w:val="single" w:sz="4" w:space="0" w:color="auto"/>
              <w:right w:val="single" w:sz="4" w:space="0" w:color="auto"/>
            </w:tcBorders>
            <w:shd w:val="clear" w:color="auto" w:fill="auto"/>
            <w:noWrap/>
            <w:vAlign w:val="bottom"/>
            <w:hideMark/>
          </w:tcPr>
          <w:p w14:paraId="5920CFE0" w14:textId="5A8A1A5E" w:rsidR="00D530C1" w:rsidRPr="00D530C1" w:rsidRDefault="00D530C1" w:rsidP="00EF0D90">
            <w:pPr>
              <w:ind w:left="-69"/>
              <w:rPr>
                <w:rFonts w:eastAsia="Times New Roman"/>
                <w:color w:val="000000"/>
                <w:sz w:val="20"/>
                <w:szCs w:val="20"/>
                <w:lang w:eastAsia="pt-BR"/>
              </w:rPr>
            </w:pPr>
            <w:r w:rsidRPr="00D530C1">
              <w:rPr>
                <w:rFonts w:eastAsia="Times New Roman"/>
                <w:color w:val="000000"/>
                <w:sz w:val="20"/>
                <w:szCs w:val="20"/>
                <w:lang w:eastAsia="pt-BR"/>
              </w:rPr>
              <w:t>Empresas de fora</w:t>
            </w:r>
          </w:p>
        </w:tc>
        <w:tc>
          <w:tcPr>
            <w:tcW w:w="1034" w:type="dxa"/>
            <w:tcBorders>
              <w:top w:val="nil"/>
              <w:left w:val="nil"/>
              <w:bottom w:val="single" w:sz="4" w:space="0" w:color="auto"/>
              <w:right w:val="single" w:sz="4" w:space="0" w:color="auto"/>
            </w:tcBorders>
            <w:shd w:val="clear" w:color="auto" w:fill="auto"/>
            <w:noWrap/>
            <w:vAlign w:val="bottom"/>
            <w:hideMark/>
          </w:tcPr>
          <w:p w14:paraId="5AD3B1B2"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39</w:t>
            </w:r>
          </w:p>
        </w:tc>
        <w:tc>
          <w:tcPr>
            <w:tcW w:w="1134" w:type="dxa"/>
            <w:tcBorders>
              <w:top w:val="nil"/>
              <w:left w:val="nil"/>
              <w:bottom w:val="single" w:sz="4" w:space="0" w:color="auto"/>
              <w:right w:val="single" w:sz="4" w:space="0" w:color="auto"/>
            </w:tcBorders>
            <w:shd w:val="clear" w:color="auto" w:fill="auto"/>
            <w:noWrap/>
            <w:vAlign w:val="bottom"/>
            <w:hideMark/>
          </w:tcPr>
          <w:p w14:paraId="0654D408"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47</w:t>
            </w:r>
          </w:p>
        </w:tc>
        <w:tc>
          <w:tcPr>
            <w:tcW w:w="1275" w:type="dxa"/>
            <w:tcBorders>
              <w:top w:val="nil"/>
              <w:left w:val="nil"/>
              <w:bottom w:val="single" w:sz="4" w:space="0" w:color="auto"/>
              <w:right w:val="single" w:sz="4" w:space="0" w:color="auto"/>
            </w:tcBorders>
            <w:shd w:val="clear" w:color="auto" w:fill="auto"/>
            <w:noWrap/>
            <w:vAlign w:val="bottom"/>
            <w:hideMark/>
          </w:tcPr>
          <w:p w14:paraId="7F56ECA0"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82</w:t>
            </w:r>
          </w:p>
        </w:tc>
        <w:tc>
          <w:tcPr>
            <w:tcW w:w="1276" w:type="dxa"/>
            <w:tcBorders>
              <w:top w:val="nil"/>
              <w:left w:val="nil"/>
              <w:bottom w:val="single" w:sz="4" w:space="0" w:color="auto"/>
              <w:right w:val="single" w:sz="4" w:space="0" w:color="auto"/>
            </w:tcBorders>
            <w:shd w:val="clear" w:color="auto" w:fill="auto"/>
            <w:noWrap/>
            <w:vAlign w:val="bottom"/>
            <w:hideMark/>
          </w:tcPr>
          <w:p w14:paraId="44C0BF65"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67</w:t>
            </w:r>
          </w:p>
        </w:tc>
        <w:tc>
          <w:tcPr>
            <w:tcW w:w="1276" w:type="dxa"/>
            <w:tcBorders>
              <w:top w:val="nil"/>
              <w:left w:val="nil"/>
              <w:bottom w:val="single" w:sz="4" w:space="0" w:color="auto"/>
              <w:right w:val="nil"/>
            </w:tcBorders>
            <w:shd w:val="clear" w:color="auto" w:fill="auto"/>
            <w:noWrap/>
            <w:vAlign w:val="bottom"/>
            <w:hideMark/>
          </w:tcPr>
          <w:p w14:paraId="317B568A"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235</w:t>
            </w:r>
          </w:p>
        </w:tc>
        <w:tc>
          <w:tcPr>
            <w:tcW w:w="850" w:type="dxa"/>
            <w:tcBorders>
              <w:top w:val="nil"/>
              <w:left w:val="single" w:sz="4" w:space="0" w:color="auto"/>
              <w:bottom w:val="single" w:sz="4" w:space="0" w:color="auto"/>
              <w:right w:val="nil"/>
            </w:tcBorders>
            <w:shd w:val="clear" w:color="auto" w:fill="auto"/>
            <w:noWrap/>
            <w:vAlign w:val="bottom"/>
            <w:hideMark/>
          </w:tcPr>
          <w:p w14:paraId="63B3C598" w14:textId="77777777" w:rsidR="00D530C1" w:rsidRPr="00D530C1" w:rsidRDefault="00D530C1" w:rsidP="00D530C1">
            <w:pPr>
              <w:jc w:val="center"/>
              <w:rPr>
                <w:rFonts w:eastAsia="Times New Roman"/>
                <w:color w:val="000000"/>
                <w:sz w:val="20"/>
                <w:szCs w:val="20"/>
                <w:lang w:eastAsia="pt-BR"/>
              </w:rPr>
            </w:pPr>
            <w:r w:rsidRPr="00D530C1">
              <w:rPr>
                <w:rFonts w:eastAsia="Times New Roman"/>
                <w:color w:val="000000"/>
                <w:sz w:val="20"/>
                <w:szCs w:val="20"/>
                <w:lang w:eastAsia="pt-BR"/>
              </w:rPr>
              <w:t>38,09%</w:t>
            </w:r>
          </w:p>
        </w:tc>
      </w:tr>
      <w:tr w:rsidR="00D530C1" w:rsidRPr="00D530C1" w14:paraId="1BC04369" w14:textId="77777777" w:rsidTr="00E67D5E">
        <w:trPr>
          <w:trHeight w:val="318"/>
        </w:trPr>
        <w:tc>
          <w:tcPr>
            <w:tcW w:w="1376" w:type="dxa"/>
            <w:tcBorders>
              <w:top w:val="nil"/>
              <w:left w:val="nil"/>
              <w:bottom w:val="single" w:sz="4" w:space="0" w:color="auto"/>
              <w:right w:val="single" w:sz="4" w:space="0" w:color="auto"/>
            </w:tcBorders>
            <w:shd w:val="clear" w:color="auto" w:fill="auto"/>
            <w:noWrap/>
            <w:vAlign w:val="bottom"/>
            <w:hideMark/>
          </w:tcPr>
          <w:p w14:paraId="418AC0ED" w14:textId="77777777" w:rsidR="00D530C1" w:rsidRPr="00D530C1" w:rsidRDefault="00D530C1" w:rsidP="00EF0D90">
            <w:pPr>
              <w:ind w:left="-69"/>
              <w:rPr>
                <w:rFonts w:eastAsia="Times New Roman"/>
                <w:b/>
                <w:bCs/>
                <w:color w:val="000000"/>
                <w:sz w:val="20"/>
                <w:szCs w:val="20"/>
                <w:lang w:eastAsia="pt-BR"/>
              </w:rPr>
            </w:pPr>
            <w:r w:rsidRPr="00D530C1">
              <w:rPr>
                <w:rFonts w:eastAsia="Times New Roman"/>
                <w:b/>
                <w:bCs/>
                <w:color w:val="000000"/>
                <w:sz w:val="20"/>
                <w:szCs w:val="20"/>
                <w:lang w:eastAsia="pt-BR"/>
              </w:rPr>
              <w:t>Total</w:t>
            </w:r>
          </w:p>
        </w:tc>
        <w:tc>
          <w:tcPr>
            <w:tcW w:w="1034" w:type="dxa"/>
            <w:tcBorders>
              <w:top w:val="nil"/>
              <w:left w:val="nil"/>
              <w:bottom w:val="single" w:sz="4" w:space="0" w:color="auto"/>
              <w:right w:val="single" w:sz="4" w:space="0" w:color="auto"/>
            </w:tcBorders>
            <w:shd w:val="clear" w:color="auto" w:fill="auto"/>
            <w:noWrap/>
            <w:vAlign w:val="bottom"/>
            <w:hideMark/>
          </w:tcPr>
          <w:p w14:paraId="03181075" w14:textId="77777777" w:rsidR="00D530C1" w:rsidRPr="00D530C1" w:rsidRDefault="00D530C1" w:rsidP="00D530C1">
            <w:pPr>
              <w:jc w:val="center"/>
              <w:rPr>
                <w:rFonts w:eastAsia="Times New Roman"/>
                <w:b/>
                <w:bCs/>
                <w:color w:val="000000"/>
                <w:sz w:val="20"/>
                <w:szCs w:val="20"/>
                <w:lang w:eastAsia="pt-BR"/>
              </w:rPr>
            </w:pPr>
            <w:r w:rsidRPr="00D530C1">
              <w:rPr>
                <w:rFonts w:eastAsia="Times New Roman"/>
                <w:b/>
                <w:bCs/>
                <w:color w:val="000000"/>
                <w:sz w:val="20"/>
                <w:szCs w:val="20"/>
                <w:lang w:eastAsia="pt-BR"/>
              </w:rPr>
              <w:t>141</w:t>
            </w:r>
          </w:p>
        </w:tc>
        <w:tc>
          <w:tcPr>
            <w:tcW w:w="1134" w:type="dxa"/>
            <w:tcBorders>
              <w:top w:val="nil"/>
              <w:left w:val="nil"/>
              <w:bottom w:val="single" w:sz="4" w:space="0" w:color="auto"/>
              <w:right w:val="single" w:sz="4" w:space="0" w:color="auto"/>
            </w:tcBorders>
            <w:shd w:val="clear" w:color="auto" w:fill="auto"/>
            <w:noWrap/>
            <w:vAlign w:val="bottom"/>
            <w:hideMark/>
          </w:tcPr>
          <w:p w14:paraId="4D3C0024" w14:textId="77777777" w:rsidR="00D530C1" w:rsidRPr="00D530C1" w:rsidRDefault="00D530C1" w:rsidP="00D530C1">
            <w:pPr>
              <w:jc w:val="center"/>
              <w:rPr>
                <w:rFonts w:eastAsia="Times New Roman"/>
                <w:b/>
                <w:bCs/>
                <w:color w:val="000000"/>
                <w:sz w:val="20"/>
                <w:szCs w:val="20"/>
                <w:lang w:eastAsia="pt-BR"/>
              </w:rPr>
            </w:pPr>
            <w:r w:rsidRPr="00D530C1">
              <w:rPr>
                <w:rFonts w:eastAsia="Times New Roman"/>
                <w:b/>
                <w:bCs/>
                <w:color w:val="000000"/>
                <w:sz w:val="20"/>
                <w:szCs w:val="20"/>
                <w:lang w:eastAsia="pt-BR"/>
              </w:rPr>
              <w:t>131</w:t>
            </w:r>
          </w:p>
        </w:tc>
        <w:tc>
          <w:tcPr>
            <w:tcW w:w="1275" w:type="dxa"/>
            <w:tcBorders>
              <w:top w:val="nil"/>
              <w:left w:val="nil"/>
              <w:bottom w:val="single" w:sz="4" w:space="0" w:color="auto"/>
              <w:right w:val="single" w:sz="4" w:space="0" w:color="auto"/>
            </w:tcBorders>
            <w:shd w:val="clear" w:color="auto" w:fill="auto"/>
            <w:noWrap/>
            <w:vAlign w:val="bottom"/>
            <w:hideMark/>
          </w:tcPr>
          <w:p w14:paraId="11DE424B" w14:textId="77777777" w:rsidR="00D530C1" w:rsidRPr="00D530C1" w:rsidRDefault="00D530C1" w:rsidP="00D530C1">
            <w:pPr>
              <w:jc w:val="center"/>
              <w:rPr>
                <w:rFonts w:eastAsia="Times New Roman"/>
                <w:b/>
                <w:bCs/>
                <w:color w:val="000000"/>
                <w:sz w:val="20"/>
                <w:szCs w:val="20"/>
                <w:lang w:eastAsia="pt-BR"/>
              </w:rPr>
            </w:pPr>
            <w:r w:rsidRPr="00D530C1">
              <w:rPr>
                <w:rFonts w:eastAsia="Times New Roman"/>
                <w:b/>
                <w:bCs/>
                <w:color w:val="000000"/>
                <w:sz w:val="20"/>
                <w:szCs w:val="20"/>
                <w:lang w:eastAsia="pt-BR"/>
              </w:rPr>
              <w:t>196</w:t>
            </w:r>
          </w:p>
        </w:tc>
        <w:tc>
          <w:tcPr>
            <w:tcW w:w="1276" w:type="dxa"/>
            <w:tcBorders>
              <w:top w:val="nil"/>
              <w:left w:val="nil"/>
              <w:bottom w:val="single" w:sz="4" w:space="0" w:color="auto"/>
              <w:right w:val="single" w:sz="4" w:space="0" w:color="auto"/>
            </w:tcBorders>
            <w:shd w:val="clear" w:color="auto" w:fill="auto"/>
            <w:noWrap/>
            <w:vAlign w:val="bottom"/>
            <w:hideMark/>
          </w:tcPr>
          <w:p w14:paraId="16A2003B" w14:textId="77777777" w:rsidR="00D530C1" w:rsidRPr="00D530C1" w:rsidRDefault="00D530C1" w:rsidP="00D530C1">
            <w:pPr>
              <w:jc w:val="center"/>
              <w:rPr>
                <w:rFonts w:eastAsia="Times New Roman"/>
                <w:b/>
                <w:bCs/>
                <w:color w:val="000000"/>
                <w:sz w:val="20"/>
                <w:szCs w:val="20"/>
                <w:lang w:eastAsia="pt-BR"/>
              </w:rPr>
            </w:pPr>
            <w:r w:rsidRPr="00D530C1">
              <w:rPr>
                <w:rFonts w:eastAsia="Times New Roman"/>
                <w:b/>
                <w:bCs/>
                <w:color w:val="000000"/>
                <w:sz w:val="20"/>
                <w:szCs w:val="20"/>
                <w:lang w:eastAsia="pt-BR"/>
              </w:rPr>
              <w:t>149</w:t>
            </w:r>
          </w:p>
        </w:tc>
        <w:tc>
          <w:tcPr>
            <w:tcW w:w="1276" w:type="dxa"/>
            <w:tcBorders>
              <w:top w:val="nil"/>
              <w:left w:val="nil"/>
              <w:bottom w:val="single" w:sz="4" w:space="0" w:color="auto"/>
              <w:right w:val="nil"/>
            </w:tcBorders>
            <w:shd w:val="clear" w:color="auto" w:fill="auto"/>
            <w:noWrap/>
            <w:vAlign w:val="bottom"/>
            <w:hideMark/>
          </w:tcPr>
          <w:p w14:paraId="5FEF87C3" w14:textId="77777777" w:rsidR="00D530C1" w:rsidRPr="00D530C1" w:rsidRDefault="00D530C1" w:rsidP="00D530C1">
            <w:pPr>
              <w:jc w:val="center"/>
              <w:rPr>
                <w:rFonts w:eastAsia="Times New Roman"/>
                <w:b/>
                <w:bCs/>
                <w:color w:val="000000"/>
                <w:sz w:val="20"/>
                <w:szCs w:val="20"/>
                <w:lang w:eastAsia="pt-BR"/>
              </w:rPr>
            </w:pPr>
            <w:r w:rsidRPr="00D530C1">
              <w:rPr>
                <w:rFonts w:eastAsia="Times New Roman"/>
                <w:b/>
                <w:bCs/>
                <w:color w:val="000000"/>
                <w:sz w:val="20"/>
                <w:szCs w:val="20"/>
                <w:lang w:eastAsia="pt-BR"/>
              </w:rPr>
              <w:t>617</w:t>
            </w:r>
          </w:p>
        </w:tc>
        <w:tc>
          <w:tcPr>
            <w:tcW w:w="850" w:type="dxa"/>
            <w:tcBorders>
              <w:top w:val="nil"/>
              <w:left w:val="single" w:sz="4" w:space="0" w:color="auto"/>
              <w:bottom w:val="single" w:sz="4" w:space="0" w:color="auto"/>
              <w:right w:val="nil"/>
            </w:tcBorders>
            <w:shd w:val="clear" w:color="auto" w:fill="auto"/>
            <w:noWrap/>
            <w:vAlign w:val="bottom"/>
            <w:hideMark/>
          </w:tcPr>
          <w:p w14:paraId="033823C1" w14:textId="77777777" w:rsidR="00D530C1" w:rsidRPr="00D530C1" w:rsidRDefault="00D530C1" w:rsidP="00D530C1">
            <w:pPr>
              <w:jc w:val="center"/>
              <w:rPr>
                <w:rFonts w:eastAsia="Times New Roman"/>
                <w:b/>
                <w:bCs/>
                <w:color w:val="000000"/>
                <w:sz w:val="20"/>
                <w:szCs w:val="20"/>
                <w:lang w:eastAsia="pt-BR"/>
              </w:rPr>
            </w:pPr>
            <w:r w:rsidRPr="00D530C1">
              <w:rPr>
                <w:rFonts w:eastAsia="Times New Roman"/>
                <w:b/>
                <w:bCs/>
                <w:color w:val="000000"/>
                <w:sz w:val="20"/>
                <w:szCs w:val="20"/>
                <w:lang w:eastAsia="pt-BR"/>
              </w:rPr>
              <w:t>100,00%</w:t>
            </w:r>
          </w:p>
        </w:tc>
      </w:tr>
    </w:tbl>
    <w:p w14:paraId="0ECE9E36" w14:textId="42241D50" w:rsidR="00AB07E2" w:rsidRDefault="00E67D5E" w:rsidP="00E67D5E">
      <w:pPr>
        <w:pStyle w:val="UnidaviTexto-Espao15"/>
        <w:ind w:left="284" w:firstLine="0"/>
        <w:rPr>
          <w:sz w:val="20"/>
        </w:rPr>
      </w:pPr>
      <w:r>
        <w:rPr>
          <w:sz w:val="20"/>
        </w:rPr>
        <w:t>Fonte: Dados da pesquisa (2021)</w:t>
      </w:r>
    </w:p>
    <w:p w14:paraId="6D052BF0" w14:textId="77777777" w:rsidR="00096569" w:rsidRDefault="00096569" w:rsidP="001526A7">
      <w:pPr>
        <w:pStyle w:val="UnidaviTexto-Espao15"/>
        <w:spacing w:line="240" w:lineRule="auto"/>
        <w:ind w:firstLine="0"/>
        <w:rPr>
          <w:sz w:val="20"/>
        </w:rPr>
      </w:pPr>
    </w:p>
    <w:p w14:paraId="55835B16" w14:textId="4FA7C4D5" w:rsidR="00AB07E2" w:rsidRDefault="007766F4" w:rsidP="00D530C1">
      <w:pPr>
        <w:pStyle w:val="UnidaviTexto-Espao15"/>
      </w:pPr>
      <w:r>
        <w:t>A Tabela 25 demonstra que a</w:t>
      </w:r>
      <w:r w:rsidR="00D530C1">
        <w:t xml:space="preserve">s empresas enquadradas como ME/EPP somaram um total de 617 participações no decorrer dos quatro anos estudados. As participações de empresas ME/EPP que são do município de Taió somaram 262 no total. Referente as participações da região do Alto Vale do Itajaí, as empresas ME/EPP </w:t>
      </w:r>
      <w:r w:rsidR="00D915AF">
        <w:t>somaram 120 participações. Já as empresas ME/EPP de fora do Alto Vale tiv</w:t>
      </w:r>
      <w:r w:rsidR="00746057">
        <w:t>eram 235 participações no total geral.</w:t>
      </w:r>
    </w:p>
    <w:p w14:paraId="243ACBA6" w14:textId="5F501A13" w:rsidR="00E67D5E" w:rsidRDefault="00E67D5E" w:rsidP="00746057">
      <w:pPr>
        <w:pStyle w:val="UnidaviTexto-Espao15"/>
        <w:spacing w:line="240" w:lineRule="auto"/>
        <w:ind w:firstLine="0"/>
      </w:pPr>
    </w:p>
    <w:p w14:paraId="4FE1DFC8" w14:textId="22FE1E14" w:rsidR="00E67D5E" w:rsidRPr="00E67D5E" w:rsidRDefault="00E67D5E" w:rsidP="00E67D5E">
      <w:pPr>
        <w:ind w:left="284" w:right="284"/>
        <w:contextualSpacing/>
        <w:rPr>
          <w:b/>
          <w:sz w:val="20"/>
        </w:rPr>
      </w:pPr>
      <w:r w:rsidRPr="007F2776">
        <w:rPr>
          <w:b/>
          <w:sz w:val="20"/>
        </w:rPr>
        <w:t>Gr</w:t>
      </w:r>
      <w:r>
        <w:rPr>
          <w:b/>
          <w:sz w:val="20"/>
        </w:rPr>
        <w:t>áfico 34</w:t>
      </w:r>
      <w:r w:rsidRPr="007F2776">
        <w:rPr>
          <w:b/>
          <w:sz w:val="20"/>
        </w:rPr>
        <w:t xml:space="preserve"> –</w:t>
      </w:r>
      <w:r>
        <w:rPr>
          <w:b/>
          <w:sz w:val="20"/>
        </w:rPr>
        <w:t xml:space="preserve"> Total das participações ME/EPP vencedoras por ano 2017 – 2020</w:t>
      </w:r>
    </w:p>
    <w:p w14:paraId="012984C4" w14:textId="77777777" w:rsidR="00F47AC0" w:rsidRDefault="00AB07E2" w:rsidP="0053459E">
      <w:pPr>
        <w:pStyle w:val="UnidaviTexto-Espao15"/>
        <w:spacing w:line="240" w:lineRule="auto"/>
        <w:ind w:left="284" w:right="283" w:firstLine="0"/>
      </w:pPr>
      <w:r>
        <w:rPr>
          <w:noProof/>
        </w:rPr>
        <w:drawing>
          <wp:inline distT="0" distB="0" distL="0" distR="0" wp14:anchorId="67FF94B9" wp14:editId="2BB4C3AF">
            <wp:extent cx="5263515" cy="2941608"/>
            <wp:effectExtent l="0" t="0" r="13335" b="1143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6931235" w14:textId="02BE6CF4" w:rsidR="00096569" w:rsidRDefault="00E67D5E" w:rsidP="00746057">
      <w:pPr>
        <w:spacing w:after="160"/>
        <w:ind w:left="284" w:right="284"/>
        <w:contextualSpacing/>
        <w:rPr>
          <w:sz w:val="20"/>
        </w:rPr>
      </w:pPr>
      <w:r>
        <w:rPr>
          <w:sz w:val="20"/>
        </w:rPr>
        <w:t>Fonte: Dados da pesquisa (2021)</w:t>
      </w:r>
    </w:p>
    <w:p w14:paraId="329CD03F" w14:textId="66F5B783" w:rsidR="003D3E99" w:rsidRDefault="00096569" w:rsidP="003D3E99">
      <w:pPr>
        <w:pStyle w:val="UnidaviTexto-Espao15"/>
      </w:pPr>
      <w:r>
        <w:lastRenderedPageBreak/>
        <w:t xml:space="preserve">Observa-se que em 2017 e 2018 a quantidade maior de empresas enquadradas como ME/EPP foram as participantes do município de Taió. </w:t>
      </w:r>
      <w:r w:rsidR="00746057">
        <w:t>O Gráfico 34 evidencia que n</w:t>
      </w:r>
      <w:r>
        <w:t xml:space="preserve">os anos 2019 e 2020 a quantidade maior de empresas ME/EPP participantes foram de empresas de fora do Alto Vale do Itajaí. </w:t>
      </w:r>
      <w:r w:rsidR="005962FB">
        <w:t>Isso indica que o município começou a atrair os olhares de empresas de regiões mais distantes aumentando a disputa entre os participantes.</w:t>
      </w:r>
    </w:p>
    <w:p w14:paraId="0A56C501" w14:textId="77777777" w:rsidR="003D3E99" w:rsidRDefault="003D3E99" w:rsidP="00746057">
      <w:pPr>
        <w:pStyle w:val="UnidaviTexto-Espao15"/>
        <w:spacing w:line="240" w:lineRule="auto"/>
      </w:pPr>
    </w:p>
    <w:p w14:paraId="0A1A0390" w14:textId="64CB0B07" w:rsidR="005962FB" w:rsidRPr="00E67D5E" w:rsidRDefault="005962FB" w:rsidP="00E67D5E">
      <w:pPr>
        <w:pStyle w:val="UnidaviTexto-Espao15"/>
        <w:spacing w:line="240" w:lineRule="auto"/>
        <w:ind w:left="284" w:firstLine="0"/>
        <w:rPr>
          <w:b/>
        </w:rPr>
      </w:pPr>
      <w:r w:rsidRPr="00E67D5E">
        <w:rPr>
          <w:b/>
          <w:sz w:val="20"/>
        </w:rPr>
        <w:t>Tabe</w:t>
      </w:r>
      <w:r w:rsidR="00165741" w:rsidRPr="00E67D5E">
        <w:rPr>
          <w:b/>
          <w:sz w:val="20"/>
        </w:rPr>
        <w:t>la 26</w:t>
      </w:r>
      <w:r w:rsidRPr="00E67D5E">
        <w:rPr>
          <w:b/>
          <w:sz w:val="20"/>
        </w:rPr>
        <w:t xml:space="preserve"> – </w:t>
      </w:r>
      <w:r w:rsidR="00E67D5E">
        <w:rPr>
          <w:b/>
          <w:sz w:val="20"/>
        </w:rPr>
        <w:t>Valor das partic.</w:t>
      </w:r>
      <w:r w:rsidR="003D3E99" w:rsidRPr="00E67D5E">
        <w:rPr>
          <w:b/>
          <w:sz w:val="20"/>
        </w:rPr>
        <w:t xml:space="preserve"> de</w:t>
      </w:r>
      <w:r w:rsidR="00E67D5E">
        <w:rPr>
          <w:b/>
          <w:sz w:val="20"/>
        </w:rPr>
        <w:t xml:space="preserve"> empresas vencedoras enquad.</w:t>
      </w:r>
      <w:r w:rsidRPr="00E67D5E">
        <w:rPr>
          <w:b/>
          <w:sz w:val="20"/>
        </w:rPr>
        <w:t xml:space="preserve"> como ME / EPP – 2017 a 2020</w:t>
      </w:r>
    </w:p>
    <w:tbl>
      <w:tblPr>
        <w:tblW w:w="8201" w:type="dxa"/>
        <w:tblInd w:w="284" w:type="dxa"/>
        <w:tblCellMar>
          <w:left w:w="70" w:type="dxa"/>
          <w:right w:w="70" w:type="dxa"/>
        </w:tblCellMar>
        <w:tblLook w:val="04A0" w:firstRow="1" w:lastRow="0" w:firstColumn="1" w:lastColumn="0" w:noHBand="0" w:noVBand="1"/>
      </w:tblPr>
      <w:tblGrid>
        <w:gridCol w:w="992"/>
        <w:gridCol w:w="1238"/>
        <w:gridCol w:w="1190"/>
        <w:gridCol w:w="1290"/>
        <w:gridCol w:w="1290"/>
        <w:gridCol w:w="1311"/>
        <w:gridCol w:w="890"/>
      </w:tblGrid>
      <w:tr w:rsidR="005962FB" w:rsidRPr="005962FB" w14:paraId="3F09F66F" w14:textId="77777777" w:rsidTr="00EF0D90">
        <w:trPr>
          <w:trHeight w:val="278"/>
        </w:trPr>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3B026B7" w14:textId="77777777" w:rsidR="005962FB" w:rsidRPr="005962FB" w:rsidRDefault="005962FB" w:rsidP="00E67D5E">
            <w:pPr>
              <w:ind w:left="-69"/>
              <w:rPr>
                <w:rFonts w:eastAsia="Times New Roman"/>
                <w:b/>
                <w:bCs/>
                <w:color w:val="000000"/>
                <w:sz w:val="20"/>
                <w:szCs w:val="20"/>
                <w:lang w:eastAsia="pt-BR"/>
              </w:rPr>
            </w:pPr>
            <w:r w:rsidRPr="005962FB">
              <w:rPr>
                <w:rFonts w:eastAsia="Times New Roman"/>
                <w:b/>
                <w:bCs/>
                <w:color w:val="000000"/>
                <w:sz w:val="20"/>
                <w:szCs w:val="20"/>
                <w:lang w:eastAsia="pt-BR"/>
              </w:rPr>
              <w:t>ME / EPP Valor</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17C9DF0C" w14:textId="77777777" w:rsidR="005962FB" w:rsidRPr="005962FB" w:rsidRDefault="005962FB" w:rsidP="005962FB">
            <w:pPr>
              <w:jc w:val="center"/>
              <w:rPr>
                <w:rFonts w:eastAsia="Times New Roman"/>
                <w:b/>
                <w:bCs/>
                <w:color w:val="000000"/>
                <w:sz w:val="20"/>
                <w:szCs w:val="20"/>
                <w:lang w:eastAsia="pt-BR"/>
              </w:rPr>
            </w:pPr>
            <w:r w:rsidRPr="005962FB">
              <w:rPr>
                <w:rFonts w:eastAsia="Times New Roman"/>
                <w:b/>
                <w:bCs/>
                <w:color w:val="000000"/>
                <w:sz w:val="20"/>
                <w:szCs w:val="20"/>
                <w:lang w:eastAsia="pt-BR"/>
              </w:rPr>
              <w:t>2017</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14:paraId="367E9B6A" w14:textId="77777777" w:rsidR="005962FB" w:rsidRPr="005962FB" w:rsidRDefault="005962FB" w:rsidP="005962FB">
            <w:pPr>
              <w:jc w:val="center"/>
              <w:rPr>
                <w:rFonts w:eastAsia="Times New Roman"/>
                <w:b/>
                <w:bCs/>
                <w:color w:val="000000"/>
                <w:sz w:val="20"/>
                <w:szCs w:val="20"/>
                <w:lang w:eastAsia="pt-BR"/>
              </w:rPr>
            </w:pPr>
            <w:r w:rsidRPr="005962FB">
              <w:rPr>
                <w:rFonts w:eastAsia="Times New Roman"/>
                <w:b/>
                <w:bCs/>
                <w:color w:val="000000"/>
                <w:sz w:val="20"/>
                <w:szCs w:val="20"/>
                <w:lang w:eastAsia="pt-BR"/>
              </w:rPr>
              <w:t>2018</w:t>
            </w:r>
          </w:p>
        </w:tc>
        <w:tc>
          <w:tcPr>
            <w:tcW w:w="1290" w:type="dxa"/>
            <w:tcBorders>
              <w:top w:val="single" w:sz="4" w:space="0" w:color="auto"/>
              <w:left w:val="nil"/>
              <w:bottom w:val="single" w:sz="4" w:space="0" w:color="auto"/>
              <w:right w:val="single" w:sz="4" w:space="0" w:color="auto"/>
            </w:tcBorders>
            <w:shd w:val="clear" w:color="auto" w:fill="auto"/>
            <w:noWrap/>
            <w:vAlign w:val="bottom"/>
            <w:hideMark/>
          </w:tcPr>
          <w:p w14:paraId="321CF2FF" w14:textId="77777777" w:rsidR="005962FB" w:rsidRPr="005962FB" w:rsidRDefault="005962FB" w:rsidP="005962FB">
            <w:pPr>
              <w:jc w:val="center"/>
              <w:rPr>
                <w:rFonts w:eastAsia="Times New Roman"/>
                <w:b/>
                <w:bCs/>
                <w:color w:val="000000"/>
                <w:sz w:val="20"/>
                <w:szCs w:val="20"/>
                <w:lang w:eastAsia="pt-BR"/>
              </w:rPr>
            </w:pPr>
            <w:r w:rsidRPr="005962FB">
              <w:rPr>
                <w:rFonts w:eastAsia="Times New Roman"/>
                <w:b/>
                <w:bCs/>
                <w:color w:val="000000"/>
                <w:sz w:val="20"/>
                <w:szCs w:val="20"/>
                <w:lang w:eastAsia="pt-BR"/>
              </w:rPr>
              <w:t>2019</w:t>
            </w:r>
          </w:p>
        </w:tc>
        <w:tc>
          <w:tcPr>
            <w:tcW w:w="1290" w:type="dxa"/>
            <w:tcBorders>
              <w:top w:val="single" w:sz="4" w:space="0" w:color="auto"/>
              <w:left w:val="nil"/>
              <w:bottom w:val="single" w:sz="4" w:space="0" w:color="auto"/>
              <w:right w:val="single" w:sz="4" w:space="0" w:color="auto"/>
            </w:tcBorders>
            <w:shd w:val="clear" w:color="auto" w:fill="auto"/>
            <w:noWrap/>
            <w:vAlign w:val="bottom"/>
            <w:hideMark/>
          </w:tcPr>
          <w:p w14:paraId="1BA2F10A" w14:textId="77777777" w:rsidR="005962FB" w:rsidRPr="005962FB" w:rsidRDefault="005962FB" w:rsidP="005962FB">
            <w:pPr>
              <w:jc w:val="center"/>
              <w:rPr>
                <w:rFonts w:eastAsia="Times New Roman"/>
                <w:b/>
                <w:bCs/>
                <w:color w:val="000000"/>
                <w:sz w:val="20"/>
                <w:szCs w:val="20"/>
                <w:lang w:eastAsia="pt-BR"/>
              </w:rPr>
            </w:pPr>
            <w:r w:rsidRPr="005962FB">
              <w:rPr>
                <w:rFonts w:eastAsia="Times New Roman"/>
                <w:b/>
                <w:bCs/>
                <w:color w:val="000000"/>
                <w:sz w:val="20"/>
                <w:szCs w:val="20"/>
                <w:lang w:eastAsia="pt-BR"/>
              </w:rPr>
              <w:t>2020</w:t>
            </w:r>
          </w:p>
        </w:tc>
        <w:tc>
          <w:tcPr>
            <w:tcW w:w="1311" w:type="dxa"/>
            <w:tcBorders>
              <w:top w:val="single" w:sz="4" w:space="0" w:color="auto"/>
              <w:left w:val="nil"/>
              <w:bottom w:val="single" w:sz="4" w:space="0" w:color="auto"/>
              <w:right w:val="nil"/>
            </w:tcBorders>
            <w:shd w:val="clear" w:color="auto" w:fill="auto"/>
            <w:noWrap/>
            <w:vAlign w:val="bottom"/>
            <w:hideMark/>
          </w:tcPr>
          <w:p w14:paraId="5505BC49" w14:textId="77777777" w:rsidR="005962FB" w:rsidRPr="005962FB" w:rsidRDefault="005962FB" w:rsidP="005962FB">
            <w:pPr>
              <w:jc w:val="center"/>
              <w:rPr>
                <w:rFonts w:eastAsia="Times New Roman"/>
                <w:b/>
                <w:bCs/>
                <w:color w:val="000000"/>
                <w:sz w:val="20"/>
                <w:szCs w:val="20"/>
                <w:lang w:eastAsia="pt-BR"/>
              </w:rPr>
            </w:pPr>
            <w:r w:rsidRPr="005962FB">
              <w:rPr>
                <w:rFonts w:eastAsia="Times New Roman"/>
                <w:b/>
                <w:bCs/>
                <w:color w:val="000000"/>
                <w:sz w:val="20"/>
                <w:szCs w:val="20"/>
                <w:lang w:eastAsia="pt-BR"/>
              </w:rPr>
              <w:t>Total</w:t>
            </w:r>
          </w:p>
        </w:tc>
        <w:tc>
          <w:tcPr>
            <w:tcW w:w="890" w:type="dxa"/>
            <w:tcBorders>
              <w:top w:val="single" w:sz="4" w:space="0" w:color="auto"/>
              <w:left w:val="single" w:sz="4" w:space="0" w:color="auto"/>
              <w:bottom w:val="single" w:sz="4" w:space="0" w:color="auto"/>
              <w:right w:val="nil"/>
            </w:tcBorders>
            <w:shd w:val="clear" w:color="auto" w:fill="auto"/>
            <w:noWrap/>
            <w:vAlign w:val="bottom"/>
            <w:hideMark/>
          </w:tcPr>
          <w:p w14:paraId="58152A70" w14:textId="77777777" w:rsidR="005962FB" w:rsidRPr="005962FB" w:rsidRDefault="005962FB" w:rsidP="005962FB">
            <w:pPr>
              <w:jc w:val="center"/>
              <w:rPr>
                <w:rFonts w:eastAsia="Times New Roman"/>
                <w:b/>
                <w:bCs/>
                <w:color w:val="000000"/>
                <w:sz w:val="20"/>
                <w:szCs w:val="20"/>
                <w:lang w:eastAsia="pt-BR"/>
              </w:rPr>
            </w:pPr>
            <w:r w:rsidRPr="005962FB">
              <w:rPr>
                <w:rFonts w:eastAsia="Times New Roman"/>
                <w:b/>
                <w:bCs/>
                <w:color w:val="000000"/>
                <w:sz w:val="20"/>
                <w:szCs w:val="20"/>
                <w:lang w:eastAsia="pt-BR"/>
              </w:rPr>
              <w:t>%</w:t>
            </w:r>
          </w:p>
        </w:tc>
      </w:tr>
      <w:tr w:rsidR="005962FB" w:rsidRPr="005962FB" w14:paraId="76BEEF01" w14:textId="77777777" w:rsidTr="00EF0D90">
        <w:trPr>
          <w:trHeight w:val="278"/>
        </w:trPr>
        <w:tc>
          <w:tcPr>
            <w:tcW w:w="992" w:type="dxa"/>
            <w:tcBorders>
              <w:top w:val="nil"/>
              <w:left w:val="nil"/>
              <w:bottom w:val="single" w:sz="4" w:space="0" w:color="auto"/>
              <w:right w:val="single" w:sz="4" w:space="0" w:color="auto"/>
            </w:tcBorders>
            <w:shd w:val="clear" w:color="auto" w:fill="auto"/>
            <w:noWrap/>
            <w:vAlign w:val="bottom"/>
            <w:hideMark/>
          </w:tcPr>
          <w:p w14:paraId="7C3FE1CD" w14:textId="77777777" w:rsidR="005962FB" w:rsidRPr="005962FB" w:rsidRDefault="005962FB" w:rsidP="00E67D5E">
            <w:pPr>
              <w:ind w:left="-69"/>
              <w:rPr>
                <w:rFonts w:eastAsia="Times New Roman"/>
                <w:color w:val="000000"/>
                <w:sz w:val="20"/>
                <w:szCs w:val="20"/>
                <w:lang w:eastAsia="pt-BR"/>
              </w:rPr>
            </w:pPr>
            <w:r w:rsidRPr="005962FB">
              <w:rPr>
                <w:rFonts w:eastAsia="Times New Roman"/>
                <w:color w:val="000000"/>
                <w:sz w:val="20"/>
                <w:szCs w:val="20"/>
                <w:lang w:eastAsia="pt-BR"/>
              </w:rPr>
              <w:t>Empresas de Taió</w:t>
            </w:r>
          </w:p>
        </w:tc>
        <w:tc>
          <w:tcPr>
            <w:tcW w:w="1238" w:type="dxa"/>
            <w:tcBorders>
              <w:top w:val="nil"/>
              <w:left w:val="nil"/>
              <w:bottom w:val="single" w:sz="4" w:space="0" w:color="auto"/>
              <w:right w:val="single" w:sz="4" w:space="0" w:color="auto"/>
            </w:tcBorders>
            <w:shd w:val="clear" w:color="auto" w:fill="auto"/>
            <w:noWrap/>
            <w:vAlign w:val="bottom"/>
            <w:hideMark/>
          </w:tcPr>
          <w:p w14:paraId="39C681BD"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2.634.884,72</w:t>
            </w:r>
          </w:p>
        </w:tc>
        <w:tc>
          <w:tcPr>
            <w:tcW w:w="1190" w:type="dxa"/>
            <w:tcBorders>
              <w:top w:val="nil"/>
              <w:left w:val="nil"/>
              <w:bottom w:val="single" w:sz="4" w:space="0" w:color="auto"/>
              <w:right w:val="single" w:sz="4" w:space="0" w:color="auto"/>
            </w:tcBorders>
            <w:shd w:val="clear" w:color="auto" w:fill="auto"/>
            <w:noWrap/>
            <w:vAlign w:val="bottom"/>
            <w:hideMark/>
          </w:tcPr>
          <w:p w14:paraId="0F6C0AB4"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3.328.015,32</w:t>
            </w:r>
          </w:p>
        </w:tc>
        <w:tc>
          <w:tcPr>
            <w:tcW w:w="1290" w:type="dxa"/>
            <w:tcBorders>
              <w:top w:val="nil"/>
              <w:left w:val="nil"/>
              <w:bottom w:val="single" w:sz="4" w:space="0" w:color="auto"/>
              <w:right w:val="single" w:sz="4" w:space="0" w:color="auto"/>
            </w:tcBorders>
            <w:shd w:val="clear" w:color="auto" w:fill="auto"/>
            <w:noWrap/>
            <w:vAlign w:val="bottom"/>
            <w:hideMark/>
          </w:tcPr>
          <w:p w14:paraId="3EE3431A"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4.500.491,14</w:t>
            </w:r>
          </w:p>
        </w:tc>
        <w:tc>
          <w:tcPr>
            <w:tcW w:w="1290" w:type="dxa"/>
            <w:tcBorders>
              <w:top w:val="nil"/>
              <w:left w:val="nil"/>
              <w:bottom w:val="single" w:sz="4" w:space="0" w:color="auto"/>
              <w:right w:val="single" w:sz="4" w:space="0" w:color="auto"/>
            </w:tcBorders>
            <w:shd w:val="clear" w:color="auto" w:fill="auto"/>
            <w:noWrap/>
            <w:vAlign w:val="bottom"/>
            <w:hideMark/>
          </w:tcPr>
          <w:p w14:paraId="2F9220A0"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5.150.195,92</w:t>
            </w:r>
          </w:p>
        </w:tc>
        <w:tc>
          <w:tcPr>
            <w:tcW w:w="1311" w:type="dxa"/>
            <w:tcBorders>
              <w:top w:val="nil"/>
              <w:left w:val="nil"/>
              <w:bottom w:val="single" w:sz="4" w:space="0" w:color="auto"/>
              <w:right w:val="nil"/>
            </w:tcBorders>
            <w:shd w:val="clear" w:color="auto" w:fill="auto"/>
            <w:noWrap/>
            <w:vAlign w:val="bottom"/>
            <w:hideMark/>
          </w:tcPr>
          <w:p w14:paraId="13FA6E59"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15.613.587,10</w:t>
            </w:r>
          </w:p>
        </w:tc>
        <w:tc>
          <w:tcPr>
            <w:tcW w:w="890" w:type="dxa"/>
            <w:tcBorders>
              <w:top w:val="nil"/>
              <w:left w:val="single" w:sz="4" w:space="0" w:color="auto"/>
              <w:bottom w:val="single" w:sz="4" w:space="0" w:color="auto"/>
              <w:right w:val="nil"/>
            </w:tcBorders>
            <w:shd w:val="clear" w:color="auto" w:fill="auto"/>
            <w:noWrap/>
            <w:vAlign w:val="bottom"/>
            <w:hideMark/>
          </w:tcPr>
          <w:p w14:paraId="0968061B"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39,11%</w:t>
            </w:r>
          </w:p>
        </w:tc>
      </w:tr>
      <w:tr w:rsidR="005962FB" w:rsidRPr="005962FB" w14:paraId="3521FCD7" w14:textId="77777777" w:rsidTr="00EF0D90">
        <w:trPr>
          <w:trHeight w:val="278"/>
        </w:trPr>
        <w:tc>
          <w:tcPr>
            <w:tcW w:w="992" w:type="dxa"/>
            <w:tcBorders>
              <w:top w:val="nil"/>
              <w:left w:val="nil"/>
              <w:bottom w:val="single" w:sz="4" w:space="0" w:color="auto"/>
              <w:right w:val="single" w:sz="4" w:space="0" w:color="auto"/>
            </w:tcBorders>
            <w:shd w:val="clear" w:color="auto" w:fill="auto"/>
            <w:noWrap/>
            <w:vAlign w:val="bottom"/>
            <w:hideMark/>
          </w:tcPr>
          <w:p w14:paraId="15E3F838" w14:textId="77777777" w:rsidR="005962FB" w:rsidRPr="005962FB" w:rsidRDefault="005962FB" w:rsidP="00E67D5E">
            <w:pPr>
              <w:ind w:left="-69"/>
              <w:rPr>
                <w:rFonts w:eastAsia="Times New Roman"/>
                <w:color w:val="000000"/>
                <w:sz w:val="20"/>
                <w:szCs w:val="20"/>
                <w:lang w:eastAsia="pt-BR"/>
              </w:rPr>
            </w:pPr>
            <w:r w:rsidRPr="005962FB">
              <w:rPr>
                <w:rFonts w:eastAsia="Times New Roman"/>
                <w:color w:val="000000"/>
                <w:sz w:val="20"/>
                <w:szCs w:val="20"/>
                <w:lang w:eastAsia="pt-BR"/>
              </w:rPr>
              <w:t>Emp. do Alto Vale</w:t>
            </w:r>
          </w:p>
        </w:tc>
        <w:tc>
          <w:tcPr>
            <w:tcW w:w="1238" w:type="dxa"/>
            <w:tcBorders>
              <w:top w:val="nil"/>
              <w:left w:val="nil"/>
              <w:bottom w:val="single" w:sz="4" w:space="0" w:color="auto"/>
              <w:right w:val="single" w:sz="4" w:space="0" w:color="auto"/>
            </w:tcBorders>
            <w:shd w:val="clear" w:color="auto" w:fill="auto"/>
            <w:noWrap/>
            <w:vAlign w:val="bottom"/>
            <w:hideMark/>
          </w:tcPr>
          <w:p w14:paraId="65B643C0"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1.741.017,32</w:t>
            </w:r>
          </w:p>
        </w:tc>
        <w:tc>
          <w:tcPr>
            <w:tcW w:w="1190" w:type="dxa"/>
            <w:tcBorders>
              <w:top w:val="nil"/>
              <w:left w:val="nil"/>
              <w:bottom w:val="single" w:sz="4" w:space="0" w:color="auto"/>
              <w:right w:val="single" w:sz="4" w:space="0" w:color="auto"/>
            </w:tcBorders>
            <w:shd w:val="clear" w:color="auto" w:fill="auto"/>
            <w:noWrap/>
            <w:vAlign w:val="bottom"/>
            <w:hideMark/>
          </w:tcPr>
          <w:p w14:paraId="1C51FA90"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1.900.686,10</w:t>
            </w:r>
          </w:p>
        </w:tc>
        <w:tc>
          <w:tcPr>
            <w:tcW w:w="1290" w:type="dxa"/>
            <w:tcBorders>
              <w:top w:val="nil"/>
              <w:left w:val="nil"/>
              <w:bottom w:val="single" w:sz="4" w:space="0" w:color="auto"/>
              <w:right w:val="single" w:sz="4" w:space="0" w:color="auto"/>
            </w:tcBorders>
            <w:shd w:val="clear" w:color="auto" w:fill="auto"/>
            <w:noWrap/>
            <w:vAlign w:val="bottom"/>
            <w:hideMark/>
          </w:tcPr>
          <w:p w14:paraId="100629AD"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7.489.911,18</w:t>
            </w:r>
          </w:p>
        </w:tc>
        <w:tc>
          <w:tcPr>
            <w:tcW w:w="1290" w:type="dxa"/>
            <w:tcBorders>
              <w:top w:val="nil"/>
              <w:left w:val="nil"/>
              <w:bottom w:val="single" w:sz="4" w:space="0" w:color="auto"/>
              <w:right w:val="single" w:sz="4" w:space="0" w:color="auto"/>
            </w:tcBorders>
            <w:shd w:val="clear" w:color="auto" w:fill="auto"/>
            <w:noWrap/>
            <w:vAlign w:val="bottom"/>
            <w:hideMark/>
          </w:tcPr>
          <w:p w14:paraId="577990A3"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2.330.523,18</w:t>
            </w:r>
          </w:p>
        </w:tc>
        <w:tc>
          <w:tcPr>
            <w:tcW w:w="1311" w:type="dxa"/>
            <w:tcBorders>
              <w:top w:val="nil"/>
              <w:left w:val="nil"/>
              <w:bottom w:val="single" w:sz="4" w:space="0" w:color="auto"/>
              <w:right w:val="nil"/>
            </w:tcBorders>
            <w:shd w:val="clear" w:color="auto" w:fill="auto"/>
            <w:noWrap/>
            <w:vAlign w:val="bottom"/>
            <w:hideMark/>
          </w:tcPr>
          <w:p w14:paraId="6DAE9F4B"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13.462.137,78</w:t>
            </w:r>
          </w:p>
        </w:tc>
        <w:tc>
          <w:tcPr>
            <w:tcW w:w="890" w:type="dxa"/>
            <w:tcBorders>
              <w:top w:val="nil"/>
              <w:left w:val="single" w:sz="4" w:space="0" w:color="auto"/>
              <w:bottom w:val="single" w:sz="4" w:space="0" w:color="auto"/>
              <w:right w:val="nil"/>
            </w:tcBorders>
            <w:shd w:val="clear" w:color="auto" w:fill="auto"/>
            <w:noWrap/>
            <w:vAlign w:val="bottom"/>
            <w:hideMark/>
          </w:tcPr>
          <w:p w14:paraId="5F21F788"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33,72%</w:t>
            </w:r>
          </w:p>
        </w:tc>
      </w:tr>
      <w:tr w:rsidR="005962FB" w:rsidRPr="005962FB" w14:paraId="6F5532BB" w14:textId="77777777" w:rsidTr="00EF0D90">
        <w:trPr>
          <w:trHeight w:val="278"/>
        </w:trPr>
        <w:tc>
          <w:tcPr>
            <w:tcW w:w="992" w:type="dxa"/>
            <w:tcBorders>
              <w:top w:val="nil"/>
              <w:left w:val="nil"/>
              <w:bottom w:val="single" w:sz="4" w:space="0" w:color="auto"/>
              <w:right w:val="single" w:sz="4" w:space="0" w:color="auto"/>
            </w:tcBorders>
            <w:shd w:val="clear" w:color="auto" w:fill="auto"/>
            <w:noWrap/>
            <w:vAlign w:val="bottom"/>
            <w:hideMark/>
          </w:tcPr>
          <w:p w14:paraId="73ED952D" w14:textId="2799ED7B" w:rsidR="005962FB" w:rsidRPr="005962FB" w:rsidRDefault="005962FB" w:rsidP="00E67D5E">
            <w:pPr>
              <w:ind w:left="-69"/>
              <w:rPr>
                <w:rFonts w:eastAsia="Times New Roman"/>
                <w:color w:val="000000"/>
                <w:sz w:val="20"/>
                <w:szCs w:val="20"/>
                <w:lang w:eastAsia="pt-BR"/>
              </w:rPr>
            </w:pPr>
            <w:r w:rsidRPr="005962FB">
              <w:rPr>
                <w:rFonts w:eastAsia="Times New Roman"/>
                <w:color w:val="000000"/>
                <w:sz w:val="20"/>
                <w:szCs w:val="20"/>
                <w:lang w:eastAsia="pt-BR"/>
              </w:rPr>
              <w:t>Empresas de fora</w:t>
            </w:r>
          </w:p>
        </w:tc>
        <w:tc>
          <w:tcPr>
            <w:tcW w:w="1238" w:type="dxa"/>
            <w:tcBorders>
              <w:top w:val="nil"/>
              <w:left w:val="nil"/>
              <w:bottom w:val="single" w:sz="4" w:space="0" w:color="auto"/>
              <w:right w:val="single" w:sz="4" w:space="0" w:color="auto"/>
            </w:tcBorders>
            <w:shd w:val="clear" w:color="auto" w:fill="auto"/>
            <w:noWrap/>
            <w:vAlign w:val="bottom"/>
            <w:hideMark/>
          </w:tcPr>
          <w:p w14:paraId="7C80CDB7"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2.199.448,57</w:t>
            </w:r>
          </w:p>
        </w:tc>
        <w:tc>
          <w:tcPr>
            <w:tcW w:w="1190" w:type="dxa"/>
            <w:tcBorders>
              <w:top w:val="nil"/>
              <w:left w:val="nil"/>
              <w:bottom w:val="single" w:sz="4" w:space="0" w:color="auto"/>
              <w:right w:val="single" w:sz="4" w:space="0" w:color="auto"/>
            </w:tcBorders>
            <w:shd w:val="clear" w:color="auto" w:fill="auto"/>
            <w:noWrap/>
            <w:vAlign w:val="bottom"/>
            <w:hideMark/>
          </w:tcPr>
          <w:p w14:paraId="7460D4BF"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1.788.581,92</w:t>
            </w:r>
          </w:p>
        </w:tc>
        <w:tc>
          <w:tcPr>
            <w:tcW w:w="1290" w:type="dxa"/>
            <w:tcBorders>
              <w:top w:val="nil"/>
              <w:left w:val="nil"/>
              <w:bottom w:val="single" w:sz="4" w:space="0" w:color="auto"/>
              <w:right w:val="single" w:sz="4" w:space="0" w:color="auto"/>
            </w:tcBorders>
            <w:shd w:val="clear" w:color="auto" w:fill="auto"/>
            <w:noWrap/>
            <w:vAlign w:val="bottom"/>
            <w:hideMark/>
          </w:tcPr>
          <w:p w14:paraId="41CE998D"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3.202.946,36</w:t>
            </w:r>
          </w:p>
        </w:tc>
        <w:tc>
          <w:tcPr>
            <w:tcW w:w="1290" w:type="dxa"/>
            <w:tcBorders>
              <w:top w:val="nil"/>
              <w:left w:val="nil"/>
              <w:bottom w:val="single" w:sz="4" w:space="0" w:color="auto"/>
              <w:right w:val="single" w:sz="4" w:space="0" w:color="auto"/>
            </w:tcBorders>
            <w:shd w:val="clear" w:color="auto" w:fill="auto"/>
            <w:noWrap/>
            <w:vAlign w:val="bottom"/>
            <w:hideMark/>
          </w:tcPr>
          <w:p w14:paraId="2DE57AEF"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3.660.497,41</w:t>
            </w:r>
          </w:p>
        </w:tc>
        <w:tc>
          <w:tcPr>
            <w:tcW w:w="1311" w:type="dxa"/>
            <w:tcBorders>
              <w:top w:val="nil"/>
              <w:left w:val="nil"/>
              <w:bottom w:val="single" w:sz="4" w:space="0" w:color="auto"/>
              <w:right w:val="nil"/>
            </w:tcBorders>
            <w:shd w:val="clear" w:color="auto" w:fill="auto"/>
            <w:noWrap/>
            <w:vAlign w:val="bottom"/>
            <w:hideMark/>
          </w:tcPr>
          <w:p w14:paraId="57A9EBF4"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10.851.474,26</w:t>
            </w:r>
          </w:p>
        </w:tc>
        <w:tc>
          <w:tcPr>
            <w:tcW w:w="890" w:type="dxa"/>
            <w:tcBorders>
              <w:top w:val="nil"/>
              <w:left w:val="single" w:sz="4" w:space="0" w:color="auto"/>
              <w:bottom w:val="single" w:sz="4" w:space="0" w:color="auto"/>
              <w:right w:val="nil"/>
            </w:tcBorders>
            <w:shd w:val="clear" w:color="auto" w:fill="auto"/>
            <w:noWrap/>
            <w:vAlign w:val="bottom"/>
            <w:hideMark/>
          </w:tcPr>
          <w:p w14:paraId="2CCDD445" w14:textId="77777777" w:rsidR="005962FB" w:rsidRPr="005962FB" w:rsidRDefault="005962FB" w:rsidP="005962FB">
            <w:pPr>
              <w:jc w:val="center"/>
              <w:rPr>
                <w:rFonts w:eastAsia="Times New Roman"/>
                <w:color w:val="000000"/>
                <w:sz w:val="20"/>
                <w:szCs w:val="20"/>
                <w:lang w:eastAsia="pt-BR"/>
              </w:rPr>
            </w:pPr>
            <w:r w:rsidRPr="005962FB">
              <w:rPr>
                <w:rFonts w:eastAsia="Times New Roman"/>
                <w:color w:val="000000"/>
                <w:sz w:val="20"/>
                <w:szCs w:val="20"/>
                <w:lang w:eastAsia="pt-BR"/>
              </w:rPr>
              <w:t>27,18%</w:t>
            </w:r>
          </w:p>
        </w:tc>
      </w:tr>
      <w:tr w:rsidR="005962FB" w:rsidRPr="005962FB" w14:paraId="0C7B825A" w14:textId="77777777" w:rsidTr="00EF0D90">
        <w:trPr>
          <w:trHeight w:val="278"/>
        </w:trPr>
        <w:tc>
          <w:tcPr>
            <w:tcW w:w="992" w:type="dxa"/>
            <w:tcBorders>
              <w:top w:val="nil"/>
              <w:left w:val="nil"/>
              <w:bottom w:val="single" w:sz="4" w:space="0" w:color="auto"/>
              <w:right w:val="single" w:sz="4" w:space="0" w:color="auto"/>
            </w:tcBorders>
            <w:shd w:val="clear" w:color="auto" w:fill="auto"/>
            <w:noWrap/>
            <w:vAlign w:val="bottom"/>
            <w:hideMark/>
          </w:tcPr>
          <w:p w14:paraId="32881DB4" w14:textId="77777777" w:rsidR="005962FB" w:rsidRPr="005962FB" w:rsidRDefault="005962FB" w:rsidP="00E67D5E">
            <w:pPr>
              <w:ind w:left="-69"/>
              <w:rPr>
                <w:rFonts w:eastAsia="Times New Roman"/>
                <w:b/>
                <w:bCs/>
                <w:color w:val="000000"/>
                <w:sz w:val="20"/>
                <w:szCs w:val="20"/>
                <w:lang w:eastAsia="pt-BR"/>
              </w:rPr>
            </w:pPr>
            <w:r w:rsidRPr="005962FB">
              <w:rPr>
                <w:rFonts w:eastAsia="Times New Roman"/>
                <w:b/>
                <w:bCs/>
                <w:color w:val="000000"/>
                <w:sz w:val="20"/>
                <w:szCs w:val="20"/>
                <w:lang w:eastAsia="pt-BR"/>
              </w:rPr>
              <w:t>Total</w:t>
            </w:r>
          </w:p>
        </w:tc>
        <w:tc>
          <w:tcPr>
            <w:tcW w:w="1238" w:type="dxa"/>
            <w:tcBorders>
              <w:top w:val="nil"/>
              <w:left w:val="nil"/>
              <w:bottom w:val="single" w:sz="4" w:space="0" w:color="auto"/>
              <w:right w:val="single" w:sz="4" w:space="0" w:color="auto"/>
            </w:tcBorders>
            <w:shd w:val="clear" w:color="auto" w:fill="auto"/>
            <w:noWrap/>
            <w:vAlign w:val="bottom"/>
            <w:hideMark/>
          </w:tcPr>
          <w:p w14:paraId="2AE86047" w14:textId="77777777" w:rsidR="005962FB" w:rsidRPr="005962FB" w:rsidRDefault="005962FB" w:rsidP="005962FB">
            <w:pPr>
              <w:jc w:val="center"/>
              <w:rPr>
                <w:rFonts w:eastAsia="Times New Roman"/>
                <w:b/>
                <w:bCs/>
                <w:color w:val="000000"/>
                <w:sz w:val="20"/>
                <w:szCs w:val="20"/>
                <w:lang w:eastAsia="pt-BR"/>
              </w:rPr>
            </w:pPr>
            <w:r w:rsidRPr="005962FB">
              <w:rPr>
                <w:rFonts w:eastAsia="Times New Roman"/>
                <w:b/>
                <w:bCs/>
                <w:color w:val="000000"/>
                <w:sz w:val="20"/>
                <w:szCs w:val="20"/>
                <w:lang w:eastAsia="pt-BR"/>
              </w:rPr>
              <w:t>6.575.350,61</w:t>
            </w:r>
          </w:p>
        </w:tc>
        <w:tc>
          <w:tcPr>
            <w:tcW w:w="1190" w:type="dxa"/>
            <w:tcBorders>
              <w:top w:val="nil"/>
              <w:left w:val="nil"/>
              <w:bottom w:val="single" w:sz="4" w:space="0" w:color="auto"/>
              <w:right w:val="single" w:sz="4" w:space="0" w:color="auto"/>
            </w:tcBorders>
            <w:shd w:val="clear" w:color="auto" w:fill="auto"/>
            <w:noWrap/>
            <w:vAlign w:val="bottom"/>
            <w:hideMark/>
          </w:tcPr>
          <w:p w14:paraId="2FC24E20" w14:textId="77777777" w:rsidR="005962FB" w:rsidRPr="005962FB" w:rsidRDefault="005962FB" w:rsidP="005962FB">
            <w:pPr>
              <w:jc w:val="center"/>
              <w:rPr>
                <w:rFonts w:eastAsia="Times New Roman"/>
                <w:b/>
                <w:bCs/>
                <w:color w:val="000000"/>
                <w:sz w:val="20"/>
                <w:szCs w:val="20"/>
                <w:lang w:eastAsia="pt-BR"/>
              </w:rPr>
            </w:pPr>
            <w:r w:rsidRPr="005962FB">
              <w:rPr>
                <w:rFonts w:eastAsia="Times New Roman"/>
                <w:b/>
                <w:bCs/>
                <w:color w:val="000000"/>
                <w:sz w:val="20"/>
                <w:szCs w:val="20"/>
                <w:lang w:eastAsia="pt-BR"/>
              </w:rPr>
              <w:t>7.017.283,34</w:t>
            </w:r>
          </w:p>
        </w:tc>
        <w:tc>
          <w:tcPr>
            <w:tcW w:w="1290" w:type="dxa"/>
            <w:tcBorders>
              <w:top w:val="nil"/>
              <w:left w:val="nil"/>
              <w:bottom w:val="single" w:sz="4" w:space="0" w:color="auto"/>
              <w:right w:val="single" w:sz="4" w:space="0" w:color="auto"/>
            </w:tcBorders>
            <w:shd w:val="clear" w:color="auto" w:fill="auto"/>
            <w:noWrap/>
            <w:vAlign w:val="bottom"/>
            <w:hideMark/>
          </w:tcPr>
          <w:p w14:paraId="4C3BDC4B" w14:textId="77777777" w:rsidR="005962FB" w:rsidRPr="005962FB" w:rsidRDefault="005962FB" w:rsidP="005962FB">
            <w:pPr>
              <w:jc w:val="center"/>
              <w:rPr>
                <w:rFonts w:eastAsia="Times New Roman"/>
                <w:b/>
                <w:bCs/>
                <w:color w:val="000000"/>
                <w:sz w:val="20"/>
                <w:szCs w:val="20"/>
                <w:lang w:eastAsia="pt-BR"/>
              </w:rPr>
            </w:pPr>
            <w:r w:rsidRPr="005962FB">
              <w:rPr>
                <w:rFonts w:eastAsia="Times New Roman"/>
                <w:b/>
                <w:bCs/>
                <w:color w:val="000000"/>
                <w:sz w:val="20"/>
                <w:szCs w:val="20"/>
                <w:lang w:eastAsia="pt-BR"/>
              </w:rPr>
              <w:t>15.193.348,68</w:t>
            </w:r>
          </w:p>
        </w:tc>
        <w:tc>
          <w:tcPr>
            <w:tcW w:w="1290" w:type="dxa"/>
            <w:tcBorders>
              <w:top w:val="nil"/>
              <w:left w:val="nil"/>
              <w:bottom w:val="single" w:sz="4" w:space="0" w:color="auto"/>
              <w:right w:val="single" w:sz="4" w:space="0" w:color="auto"/>
            </w:tcBorders>
            <w:shd w:val="clear" w:color="auto" w:fill="auto"/>
            <w:noWrap/>
            <w:vAlign w:val="bottom"/>
            <w:hideMark/>
          </w:tcPr>
          <w:p w14:paraId="2F7F0BB4" w14:textId="77777777" w:rsidR="005962FB" w:rsidRPr="005962FB" w:rsidRDefault="005962FB" w:rsidP="005962FB">
            <w:pPr>
              <w:jc w:val="center"/>
              <w:rPr>
                <w:rFonts w:eastAsia="Times New Roman"/>
                <w:b/>
                <w:bCs/>
                <w:color w:val="000000"/>
                <w:sz w:val="20"/>
                <w:szCs w:val="20"/>
                <w:lang w:eastAsia="pt-BR"/>
              </w:rPr>
            </w:pPr>
            <w:r w:rsidRPr="005962FB">
              <w:rPr>
                <w:rFonts w:eastAsia="Times New Roman"/>
                <w:b/>
                <w:bCs/>
                <w:color w:val="000000"/>
                <w:sz w:val="20"/>
                <w:szCs w:val="20"/>
                <w:lang w:eastAsia="pt-BR"/>
              </w:rPr>
              <w:t>11.141.216,51</w:t>
            </w:r>
          </w:p>
        </w:tc>
        <w:tc>
          <w:tcPr>
            <w:tcW w:w="1311" w:type="dxa"/>
            <w:tcBorders>
              <w:top w:val="nil"/>
              <w:left w:val="nil"/>
              <w:bottom w:val="single" w:sz="4" w:space="0" w:color="auto"/>
              <w:right w:val="nil"/>
            </w:tcBorders>
            <w:shd w:val="clear" w:color="auto" w:fill="auto"/>
            <w:noWrap/>
            <w:vAlign w:val="bottom"/>
            <w:hideMark/>
          </w:tcPr>
          <w:p w14:paraId="37F0C5CB" w14:textId="77777777" w:rsidR="005962FB" w:rsidRPr="005962FB" w:rsidRDefault="005962FB" w:rsidP="005962FB">
            <w:pPr>
              <w:jc w:val="center"/>
              <w:rPr>
                <w:rFonts w:eastAsia="Times New Roman"/>
                <w:b/>
                <w:bCs/>
                <w:color w:val="000000"/>
                <w:sz w:val="20"/>
                <w:szCs w:val="20"/>
                <w:lang w:eastAsia="pt-BR"/>
              </w:rPr>
            </w:pPr>
            <w:r w:rsidRPr="005962FB">
              <w:rPr>
                <w:rFonts w:eastAsia="Times New Roman"/>
                <w:b/>
                <w:bCs/>
                <w:color w:val="000000"/>
                <w:sz w:val="20"/>
                <w:szCs w:val="20"/>
                <w:lang w:eastAsia="pt-BR"/>
              </w:rPr>
              <w:t>39.927.199,14</w:t>
            </w:r>
          </w:p>
        </w:tc>
        <w:tc>
          <w:tcPr>
            <w:tcW w:w="890" w:type="dxa"/>
            <w:tcBorders>
              <w:top w:val="nil"/>
              <w:left w:val="single" w:sz="4" w:space="0" w:color="auto"/>
              <w:bottom w:val="single" w:sz="4" w:space="0" w:color="auto"/>
              <w:right w:val="nil"/>
            </w:tcBorders>
            <w:shd w:val="clear" w:color="auto" w:fill="auto"/>
            <w:noWrap/>
            <w:vAlign w:val="bottom"/>
            <w:hideMark/>
          </w:tcPr>
          <w:p w14:paraId="2AE0C893" w14:textId="77777777" w:rsidR="005962FB" w:rsidRPr="005962FB" w:rsidRDefault="005962FB" w:rsidP="005962FB">
            <w:pPr>
              <w:jc w:val="center"/>
              <w:rPr>
                <w:rFonts w:eastAsia="Times New Roman"/>
                <w:b/>
                <w:bCs/>
                <w:color w:val="000000"/>
                <w:sz w:val="20"/>
                <w:szCs w:val="20"/>
                <w:lang w:eastAsia="pt-BR"/>
              </w:rPr>
            </w:pPr>
            <w:r w:rsidRPr="005962FB">
              <w:rPr>
                <w:rFonts w:eastAsia="Times New Roman"/>
                <w:b/>
                <w:bCs/>
                <w:color w:val="000000"/>
                <w:sz w:val="20"/>
                <w:szCs w:val="20"/>
                <w:lang w:eastAsia="pt-BR"/>
              </w:rPr>
              <w:t>100,00%</w:t>
            </w:r>
          </w:p>
        </w:tc>
      </w:tr>
    </w:tbl>
    <w:p w14:paraId="6FCCFFB2" w14:textId="7E19D820" w:rsidR="005962FB" w:rsidRDefault="00AF3FD0" w:rsidP="00E67D5E">
      <w:pPr>
        <w:pStyle w:val="UnidaviTexto-Espao15"/>
        <w:ind w:left="284" w:firstLine="0"/>
        <w:rPr>
          <w:sz w:val="20"/>
        </w:rPr>
      </w:pPr>
      <w:r>
        <w:rPr>
          <w:sz w:val="20"/>
        </w:rPr>
        <w:t>Fonte: Dados da pesquisa (2021)</w:t>
      </w:r>
    </w:p>
    <w:p w14:paraId="3B9B0710" w14:textId="77777777" w:rsidR="003D3E99" w:rsidRPr="003D3E99" w:rsidRDefault="003D3E99" w:rsidP="00746057">
      <w:pPr>
        <w:pStyle w:val="UnidaviTexto-Espao15"/>
        <w:spacing w:line="240" w:lineRule="auto"/>
        <w:ind w:firstLine="0"/>
        <w:rPr>
          <w:sz w:val="20"/>
        </w:rPr>
      </w:pPr>
    </w:p>
    <w:p w14:paraId="58342AA0" w14:textId="4B2292E8" w:rsidR="00096569" w:rsidRDefault="003D3E99" w:rsidP="00096569">
      <w:pPr>
        <w:pStyle w:val="UnidaviTexto-Espao15"/>
      </w:pPr>
      <w:r>
        <w:t>No total geral</w:t>
      </w:r>
      <w:r w:rsidR="005962FB">
        <w:t xml:space="preserve">, o </w:t>
      </w:r>
      <w:r w:rsidR="00C576C5">
        <w:t>valor vencido pelas empresas enquadradas como ME/EPP</w:t>
      </w:r>
      <w:r w:rsidR="005962FB">
        <w:t xml:space="preserve">, </w:t>
      </w:r>
      <w:r w:rsidR="00C576C5">
        <w:t>foi</w:t>
      </w:r>
      <w:r w:rsidR="005962FB">
        <w:t xml:space="preserve"> de R$ </w:t>
      </w:r>
      <w:r>
        <w:t>39.927.199,14</w:t>
      </w:r>
      <w:r w:rsidR="00746057">
        <w:t xml:space="preserve"> conforme demonstra a Tabela 26. </w:t>
      </w:r>
      <w:r w:rsidR="005962FB">
        <w:t xml:space="preserve">Desse total geral, as empresas participantes do município de Taió </w:t>
      </w:r>
      <w:r>
        <w:t xml:space="preserve">que são ME/EPP </w:t>
      </w:r>
      <w:r w:rsidR="005962FB">
        <w:t xml:space="preserve">somaram um valor de R$ </w:t>
      </w:r>
      <w:r>
        <w:t>15.613.587,10</w:t>
      </w:r>
      <w:r w:rsidR="005962FB">
        <w:t>. As empresas participantes do Alto Vale do Itajaí</w:t>
      </w:r>
      <w:r>
        <w:t xml:space="preserve"> que são ME/EPP</w:t>
      </w:r>
      <w:r w:rsidR="005962FB">
        <w:t xml:space="preserve">, somaram um valor de R$ </w:t>
      </w:r>
      <w:r>
        <w:t>13.462.137,78</w:t>
      </w:r>
      <w:r w:rsidR="005962FB">
        <w:t xml:space="preserve"> no decorrer dos quatro anos estudados. Já as empresas de fora do Alto Vale do Itajaí ficaram com a terceira posição e somou um total de R$ </w:t>
      </w:r>
      <w:r>
        <w:t>10.851.474,26</w:t>
      </w:r>
      <w:r w:rsidR="005962FB">
        <w:t xml:space="preserve">. </w:t>
      </w:r>
    </w:p>
    <w:p w14:paraId="47A328A6" w14:textId="77777777" w:rsidR="00746057" w:rsidRDefault="00746057" w:rsidP="00746057">
      <w:pPr>
        <w:pStyle w:val="UnidaviTexto-Espao15"/>
        <w:spacing w:line="240" w:lineRule="auto"/>
      </w:pPr>
    </w:p>
    <w:p w14:paraId="340E6C3E" w14:textId="6C22434E" w:rsidR="003D3E99" w:rsidRPr="00096569" w:rsidRDefault="00E67D5E" w:rsidP="00E67D5E">
      <w:pPr>
        <w:pStyle w:val="UnidaviTexto-Espao15"/>
        <w:spacing w:line="240" w:lineRule="auto"/>
        <w:ind w:left="284" w:firstLine="0"/>
      </w:pPr>
      <w:r w:rsidRPr="007F2776">
        <w:rPr>
          <w:b/>
          <w:sz w:val="20"/>
        </w:rPr>
        <w:t>Gr</w:t>
      </w:r>
      <w:r>
        <w:rPr>
          <w:b/>
          <w:sz w:val="20"/>
        </w:rPr>
        <w:t>áfico 35</w:t>
      </w:r>
      <w:r w:rsidRPr="007F2776">
        <w:rPr>
          <w:b/>
          <w:sz w:val="20"/>
        </w:rPr>
        <w:t xml:space="preserve"> –</w:t>
      </w:r>
      <w:r>
        <w:rPr>
          <w:b/>
          <w:sz w:val="20"/>
        </w:rPr>
        <w:t xml:space="preserve"> Valor Total das participações ME/EPP vencedoras por região 2017 – 2020</w:t>
      </w:r>
    </w:p>
    <w:p w14:paraId="64CFFDAE" w14:textId="4AB0261B" w:rsidR="00AB11DA" w:rsidRPr="00AF3FD0" w:rsidRDefault="00F47AC0" w:rsidP="00AF3FD0">
      <w:pPr>
        <w:pStyle w:val="UnidaviTexto-Espao15"/>
        <w:tabs>
          <w:tab w:val="left" w:pos="8505"/>
        </w:tabs>
        <w:spacing w:line="240" w:lineRule="auto"/>
        <w:ind w:left="284" w:right="283" w:firstLine="0"/>
      </w:pPr>
      <w:r>
        <w:rPr>
          <w:noProof/>
        </w:rPr>
        <w:drawing>
          <wp:inline distT="0" distB="0" distL="0" distR="0" wp14:anchorId="4D53BC82" wp14:editId="6AA13504">
            <wp:extent cx="5192202" cy="2965450"/>
            <wp:effectExtent l="0" t="0" r="8890" b="635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3BB8B59" w14:textId="626EA0CA" w:rsidR="00566CC8" w:rsidRDefault="00AB11DA" w:rsidP="00746057">
      <w:pPr>
        <w:spacing w:after="160"/>
        <w:ind w:left="284" w:right="284"/>
        <w:contextualSpacing/>
        <w:rPr>
          <w:sz w:val="20"/>
        </w:rPr>
      </w:pPr>
      <w:r>
        <w:rPr>
          <w:sz w:val="20"/>
        </w:rPr>
        <w:t>F</w:t>
      </w:r>
      <w:r w:rsidR="00AF3FD0">
        <w:rPr>
          <w:sz w:val="20"/>
        </w:rPr>
        <w:t>onte: Dados da pesquisa (2021)</w:t>
      </w:r>
    </w:p>
    <w:p w14:paraId="491B582C" w14:textId="77777777" w:rsidR="00746057" w:rsidRDefault="00746057" w:rsidP="00746057">
      <w:pPr>
        <w:spacing w:after="160"/>
        <w:ind w:left="284" w:right="284"/>
        <w:contextualSpacing/>
        <w:rPr>
          <w:sz w:val="20"/>
        </w:rPr>
      </w:pPr>
    </w:p>
    <w:p w14:paraId="3D5E8D7F" w14:textId="4F72AF7A" w:rsidR="0027018F" w:rsidRDefault="00566CC8" w:rsidP="00566CC8">
      <w:pPr>
        <w:pStyle w:val="UnidaviTexto-Espao15"/>
        <w:ind w:firstLine="567"/>
      </w:pPr>
      <w:r>
        <w:lastRenderedPageBreak/>
        <w:tab/>
        <w:t>Em relação aos valores das em</w:t>
      </w:r>
      <w:r w:rsidR="00746057">
        <w:t xml:space="preserve">presas enquadradas como ME/EPP o Gráfico 35 ilustra que </w:t>
      </w:r>
      <w:r>
        <w:t>em 2017, 2018 e</w:t>
      </w:r>
      <w:r w:rsidR="00786C7B">
        <w:t xml:space="preserve"> 2020 as empresas do município de Taió ficaram</w:t>
      </w:r>
      <w:r>
        <w:t xml:space="preserve"> com o maior</w:t>
      </w:r>
      <w:r w:rsidR="00786C7B">
        <w:t xml:space="preserve"> valor licitado. No ano de 2019, a</w:t>
      </w:r>
      <w:r>
        <w:t xml:space="preserve"> </w:t>
      </w:r>
      <w:r w:rsidR="00786C7B">
        <w:t xml:space="preserve">maior fatia de investimentos, ficou </w:t>
      </w:r>
      <w:r>
        <w:t xml:space="preserve">com </w:t>
      </w:r>
      <w:r w:rsidR="00786C7B">
        <w:t xml:space="preserve">a </w:t>
      </w:r>
      <w:r>
        <w:t>contratação de empresas do Alto Vale do Itajaí.</w:t>
      </w:r>
    </w:p>
    <w:p w14:paraId="11FB2D3F" w14:textId="77777777" w:rsidR="00AF3FD0" w:rsidRDefault="00AF3FD0" w:rsidP="00746057">
      <w:pPr>
        <w:pStyle w:val="UnidaviTexto-Espao15"/>
        <w:spacing w:line="240" w:lineRule="auto"/>
        <w:ind w:firstLine="0"/>
      </w:pPr>
    </w:p>
    <w:p w14:paraId="0D4E483F" w14:textId="5A982C3B" w:rsidR="0027018F" w:rsidRDefault="00AF3FD0" w:rsidP="00AF3FD0">
      <w:pPr>
        <w:pStyle w:val="UnidaviTexto-Espao15"/>
        <w:spacing w:line="240" w:lineRule="auto"/>
        <w:ind w:left="284" w:firstLine="0"/>
      </w:pPr>
      <w:r w:rsidRPr="00012732">
        <w:rPr>
          <w:b/>
          <w:sz w:val="20"/>
        </w:rPr>
        <w:t>Gráfico 36 – Valor Total das participações ME/EPP vencedoras por ano 2017 – 2020</w:t>
      </w:r>
    </w:p>
    <w:p w14:paraId="6266EC84" w14:textId="7A5BD52F" w:rsidR="0027018F" w:rsidRPr="00012732" w:rsidRDefault="0027018F" w:rsidP="003D3E99">
      <w:pPr>
        <w:pStyle w:val="UnidaviTexto-Espao15"/>
        <w:spacing w:line="240" w:lineRule="auto"/>
        <w:ind w:left="284" w:right="284" w:firstLine="0"/>
        <w:rPr>
          <w:sz w:val="20"/>
        </w:rPr>
      </w:pPr>
      <w:r>
        <w:rPr>
          <w:noProof/>
        </w:rPr>
        <w:drawing>
          <wp:inline distT="0" distB="0" distL="0" distR="0" wp14:anchorId="76F22ECA" wp14:editId="2A7787AC">
            <wp:extent cx="5231959" cy="3021330"/>
            <wp:effectExtent l="0" t="0" r="6985" b="762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6868092" w14:textId="56111C25" w:rsidR="0027018F" w:rsidRDefault="00AF3FD0" w:rsidP="00AF3FD0">
      <w:pPr>
        <w:spacing w:after="160"/>
        <w:ind w:left="284" w:right="284"/>
        <w:contextualSpacing/>
        <w:rPr>
          <w:sz w:val="20"/>
        </w:rPr>
      </w:pPr>
      <w:r>
        <w:rPr>
          <w:sz w:val="20"/>
        </w:rPr>
        <w:t>Fonte: Dados da pesquisa (2021)</w:t>
      </w:r>
    </w:p>
    <w:p w14:paraId="38579768" w14:textId="77777777" w:rsidR="00AF3FD0" w:rsidRDefault="00AF3FD0" w:rsidP="00746057">
      <w:pPr>
        <w:spacing w:after="160"/>
        <w:ind w:left="284" w:right="284"/>
        <w:contextualSpacing/>
        <w:rPr>
          <w:sz w:val="20"/>
        </w:rPr>
      </w:pPr>
    </w:p>
    <w:p w14:paraId="006B38EF" w14:textId="7DB85991" w:rsidR="0027018F" w:rsidRDefault="0027018F" w:rsidP="0027018F">
      <w:pPr>
        <w:pStyle w:val="UnidaviTexto-Espao15"/>
      </w:pPr>
      <w:r>
        <w:t xml:space="preserve">Pode-se observar </w:t>
      </w:r>
      <w:r w:rsidR="00AF3FD0">
        <w:t xml:space="preserve">conforme o Gráfico 36, </w:t>
      </w:r>
      <w:r>
        <w:t xml:space="preserve">que o ano de 2019 saiu disparado na frente em relação aos valores licitados e investidos pelo município. Nos anos de 2017 e 2018 teve uma diferença </w:t>
      </w:r>
      <w:r w:rsidR="00746057">
        <w:t xml:space="preserve">crescente </w:t>
      </w:r>
      <w:r>
        <w:t>pequena, e em 2020 teve uma queda bastante significativa em relação ao ano de 2019.</w:t>
      </w:r>
    </w:p>
    <w:p w14:paraId="2B92D3B9" w14:textId="77777777" w:rsidR="0027018F" w:rsidRDefault="0027018F">
      <w:pPr>
        <w:spacing w:after="160" w:line="259" w:lineRule="auto"/>
        <w:rPr>
          <w:b/>
          <w:caps/>
        </w:rPr>
      </w:pPr>
      <w:r>
        <w:br w:type="page"/>
      </w:r>
    </w:p>
    <w:p w14:paraId="4141FA05" w14:textId="3CF20411" w:rsidR="00F174EE" w:rsidRPr="00213B0F" w:rsidRDefault="00F174EE" w:rsidP="00213B0F">
      <w:pPr>
        <w:pStyle w:val="UNIDAVISEOPRIMRIA"/>
        <w:spacing w:line="360" w:lineRule="auto"/>
        <w:rPr>
          <w:lang w:val="pt-BR"/>
        </w:rPr>
      </w:pPr>
      <w:r w:rsidRPr="00830E21">
        <w:rPr>
          <w:lang w:val="pt-BR"/>
        </w:rPr>
        <w:lastRenderedPageBreak/>
        <w:t xml:space="preserve">5. </w:t>
      </w:r>
      <w:r w:rsidR="00AA10EA">
        <w:rPr>
          <w:lang w:val="pt-BR"/>
        </w:rPr>
        <w:t>CONCLUSÃO</w:t>
      </w:r>
    </w:p>
    <w:p w14:paraId="3B938C80" w14:textId="77777777" w:rsidR="004572FB" w:rsidRDefault="004572FB" w:rsidP="00EF0D90">
      <w:pPr>
        <w:spacing w:after="160" w:line="360" w:lineRule="auto"/>
        <w:rPr>
          <w:b/>
        </w:rPr>
      </w:pPr>
    </w:p>
    <w:p w14:paraId="7CAE1837" w14:textId="318D6512" w:rsidR="004572FB" w:rsidRDefault="004572FB" w:rsidP="004572FB">
      <w:pPr>
        <w:pStyle w:val="UnidaviTexto-Espao15"/>
      </w:pPr>
      <w:r>
        <w:t>O estudo do processo licitatório do município de Taió nos anos de 2017 a 2020, proporcionou uma visão panorâmica sobre o contexto em que foram inseridos os recursos públicos. Através desse estudo foi possível destacar, a quantidade de licitações realizadas em cada ano, quais as modalidades mais utilizadas pela gestão municipal, quais os valores investidos pelo município, a quantidade de participações de empresas por região, e ainda se essas empresas são de pequeno porte e</w:t>
      </w:r>
      <w:r w:rsidR="009E51F4">
        <w:t>/ou</w:t>
      </w:r>
      <w:r>
        <w:t xml:space="preserve"> microempresas.</w:t>
      </w:r>
      <w:r w:rsidR="009E51F4">
        <w:t xml:space="preserve"> </w:t>
      </w:r>
    </w:p>
    <w:p w14:paraId="41179506" w14:textId="14C91B0E" w:rsidR="004572FB" w:rsidRDefault="0087573A" w:rsidP="004572FB">
      <w:pPr>
        <w:pStyle w:val="UnidaviTexto-Espao15"/>
      </w:pPr>
      <w:r>
        <w:t>Nos quatro anos estudados, con</w:t>
      </w:r>
      <w:r w:rsidR="00385EE6">
        <w:t>s</w:t>
      </w:r>
      <w:r w:rsidR="00746057">
        <w:t>tatou-</w:t>
      </w:r>
      <w:r>
        <w:t xml:space="preserve">se </w:t>
      </w:r>
      <w:r w:rsidR="00163885">
        <w:t>que o processo licitatório do município de Taió utilizou entre quatro a seis modalidades de licitação para a contratação de bens, mercadorias e serviços, além de utilizar a possibilidade de aquisição por inexigibilidade e dispensa de licitação.</w:t>
      </w:r>
    </w:p>
    <w:p w14:paraId="7F6329BC" w14:textId="0911A464" w:rsidR="00163885" w:rsidRDefault="00163885" w:rsidP="00B938DF">
      <w:pPr>
        <w:pStyle w:val="UnidaviTexto-Espao15"/>
      </w:pPr>
      <w:r>
        <w:t xml:space="preserve">Ao longo dos quatro anos identificou-se que o município investiu cerca de R$ 66.088.256,70. </w:t>
      </w:r>
      <w:r w:rsidR="00B938DF">
        <w:t xml:space="preserve">No ano de 2017 foi investido um total de R$ 11.702.228,08. Em 2018 investiu-se um valor de 14.447.563,26. Em 2019 o valor investido foi de R$ 19.722.082,11 e no ano de 2020 o valor investido foi de R$ 20.216.383,25. </w:t>
      </w:r>
      <w:r>
        <w:t xml:space="preserve">Desse total geral, </w:t>
      </w:r>
      <w:r w:rsidR="00B938DF">
        <w:t>a distribuição entre as regiões no quesito valor, foram muito próximas. A</w:t>
      </w:r>
      <w:r>
        <w:t>s empresas participantes do município de Taió somaram um valor de R$ 22.709.696,87</w:t>
      </w:r>
      <w:r w:rsidR="00B938DF">
        <w:t xml:space="preserve"> que representou 34,36%</w:t>
      </w:r>
      <w:r>
        <w:t>. As empresas participantes do Alto Vale do Itajaí, somaram um valor de R$ 23.150.292,45 no decorrer dos quatro anos estudados</w:t>
      </w:r>
      <w:r w:rsidR="00B938DF">
        <w:t xml:space="preserve"> cerca de 35,36%</w:t>
      </w:r>
      <w:r>
        <w:t xml:space="preserve">. Já as empresas de fora do Alto Vale do </w:t>
      </w:r>
      <w:r w:rsidR="009E51F4">
        <w:t xml:space="preserve">Itajaí </w:t>
      </w:r>
      <w:r w:rsidR="00B938DF">
        <w:t>somaram</w:t>
      </w:r>
      <w:r>
        <w:t xml:space="preserve"> um total de R$ 20.228.267.38</w:t>
      </w:r>
      <w:r w:rsidR="00B938DF">
        <w:t xml:space="preserve"> representando 30,61% do total</w:t>
      </w:r>
      <w:r>
        <w:t xml:space="preserve">. As empresas do Alto Vale do Itajaí representaram a maior parcela de fornecimento ao município </w:t>
      </w:r>
      <w:r w:rsidR="00B938DF">
        <w:t>na visão geral</w:t>
      </w:r>
      <w:r w:rsidR="00746057">
        <w:t xml:space="preserve"> dos quatro anos</w:t>
      </w:r>
      <w:r w:rsidR="00B938DF">
        <w:t>.</w:t>
      </w:r>
    </w:p>
    <w:p w14:paraId="07E92DC4" w14:textId="10EA8B68" w:rsidR="00956272" w:rsidRDefault="006E2E51" w:rsidP="00956272">
      <w:pPr>
        <w:pStyle w:val="UnidaviTexto-Espao15"/>
      </w:pPr>
      <w:r>
        <w:t>Em relação ao objetivo de demonstrar os valores gastos na aquisição de cada espécie de bem ou serviço no período estudad</w:t>
      </w:r>
      <w:r w:rsidR="00956272">
        <w:t xml:space="preserve">o, encontrou-se um obstáculo. As áreas requisitantes de aplicação dos recursos foram especificadas nos editais apenas como câmara de vereadores, secretaria da saúde, assistência social, instituto previdência social e município de Taió. No objeto do edital até foram descritos para quais as secretarias seriam utilizadas as aquisições, mas não foram detalhados </w:t>
      </w:r>
      <w:r w:rsidR="00385EE6">
        <w:t>os valores a serem</w:t>
      </w:r>
      <w:r w:rsidR="00956272">
        <w:t xml:space="preserve"> destinado</w:t>
      </w:r>
      <w:r w:rsidR="00385EE6">
        <w:t>s</w:t>
      </w:r>
      <w:r w:rsidR="00956272">
        <w:t xml:space="preserve"> a cada uma. Isso acontece pelo fato de o organograma do município estar organizado de uma forma em que as compras são feitas pelo município e realocadas conforme as necessidades de cada secretaria. Por esse motivo a pesquisa tornou-se limitada, pelo fato de não poder especificar os valores aplicados em cada espécie de bens e/ou serviços contratados pela administração. </w:t>
      </w:r>
    </w:p>
    <w:p w14:paraId="7C87950A" w14:textId="00FB8030" w:rsidR="0057458E" w:rsidRDefault="00956272" w:rsidP="0057458E">
      <w:pPr>
        <w:pStyle w:val="UnidaviTexto-Espao15"/>
      </w:pPr>
      <w:r>
        <w:lastRenderedPageBreak/>
        <w:t>Os resultados encontrados referente</w:t>
      </w:r>
      <w:r w:rsidR="00160C4B">
        <w:t>s à</w:t>
      </w:r>
      <w:r>
        <w:t xml:space="preserve"> quantidade de participações de empresas por região</w:t>
      </w:r>
      <w:r w:rsidR="00CB1E84">
        <w:t>, mostraram que</w:t>
      </w:r>
      <w:r>
        <w:t xml:space="preserve"> </w:t>
      </w:r>
      <w:r w:rsidR="00160C4B">
        <w:t>no decorrer dos quatro a</w:t>
      </w:r>
      <w:r w:rsidR="00D85588">
        <w:t>n</w:t>
      </w:r>
      <w:r w:rsidR="00160C4B">
        <w:t xml:space="preserve">os estudados </w:t>
      </w:r>
      <w:r w:rsidR="0057458E">
        <w:t>obteve-se um total de 1195 participações de empresas. Dessas participações 396 foram de empresas do município de Taió, 348 do Alto Vale do Itajaí e 451 de empresas de fora do Alto Vale do Itajaí. Em relação às participações que venceram no processo licitatório do município</w:t>
      </w:r>
      <w:r w:rsidR="00385EE6">
        <w:t>, estas</w:t>
      </w:r>
      <w:r w:rsidR="0057458E">
        <w:t xml:space="preserve"> </w:t>
      </w:r>
      <w:r w:rsidR="009E51F4">
        <w:t>somaram um total de 850. As participações de empresas vencedoras do município de Taió somaram 309 cerca de 36,35% do total. As participações do Alto Vale do Itajaí totalizaram 194 cerca de 22,82% e as participações de fora do Alto Vale do Itajaí foram 347 com um percentual de 40,82%.</w:t>
      </w:r>
      <w:r w:rsidR="00CB1E84">
        <w:t xml:space="preserve"> Vale ressaltar que mesmo as empresas de fora do Alto Vale do Itajaí tendo um percentual maior referente à quantidade de partições, ainda assim o maior valor licitado acabou permanecendo com as empresas do Alto Vale </w:t>
      </w:r>
      <w:r w:rsidR="003358B0">
        <w:t xml:space="preserve">que ficaram </w:t>
      </w:r>
      <w:r w:rsidR="00CB1E84">
        <w:t>em primeiro lugar, seguido do valor das empresas do município de Taió</w:t>
      </w:r>
      <w:r w:rsidR="00A03C86">
        <w:t xml:space="preserve"> na visão geral dos quatro anos</w:t>
      </w:r>
      <w:r w:rsidR="00CB1E84">
        <w:t>.</w:t>
      </w:r>
    </w:p>
    <w:p w14:paraId="5276BF5C" w14:textId="0B7B6C92" w:rsidR="00CB1E84" w:rsidRDefault="00CB1E84" w:rsidP="0057458E">
      <w:pPr>
        <w:pStyle w:val="UnidaviTexto-Espao15"/>
      </w:pPr>
      <w:r>
        <w:t>Con</w:t>
      </w:r>
      <w:r w:rsidR="00E937E2">
        <w:t>cluiu-se ainda</w:t>
      </w:r>
      <w:r>
        <w:t xml:space="preserve"> que das 850 participaç</w:t>
      </w:r>
      <w:r w:rsidR="00E937E2">
        <w:t>ões vencedoras, 617 foram de empresas enquadradas como microempresa</w:t>
      </w:r>
      <w:r w:rsidR="00F43F99">
        <w:t>s</w:t>
      </w:r>
      <w:r w:rsidR="00E937E2">
        <w:t xml:space="preserve"> e empresas de pequeno porte. As partici</w:t>
      </w:r>
      <w:r w:rsidR="00F43F99">
        <w:t>pações vencedoras do município de Taió foram 262, cerca de 42,46%. As participações vencedoras do Alto Vale do Itajaí somaram 120, cerca de 19,45% e as participações vencedoras de fora do Alto Vale do Itajaí totalizaram 235, cerca de 38,09%. A pesquisa revelou ainda, que a maior parcela dos gastos do município cerca</w:t>
      </w:r>
      <w:r w:rsidR="00385EE6">
        <w:t xml:space="preserve"> de 60,41%</w:t>
      </w:r>
      <w:r w:rsidR="00F43F99">
        <w:t xml:space="preserve"> foram supridos por empresas enquadra</w:t>
      </w:r>
      <w:r w:rsidR="00385EE6">
        <w:t>das como ME/EPP. Apenas 39,59% foram supridos por empresas de porte maior.</w:t>
      </w:r>
    </w:p>
    <w:p w14:paraId="5D8EC873" w14:textId="01624A78" w:rsidR="001B341A" w:rsidRDefault="008E04FC" w:rsidP="001B341A">
      <w:pPr>
        <w:pStyle w:val="UnidaviTexto-Espao15"/>
      </w:pPr>
      <w:r>
        <w:t>Ao que se refere às mudanças a serem adotadas pelo município, com base na Lei 14.133/2021, a nova Lei de Licitações, pode-se destacar</w:t>
      </w:r>
      <w:r w:rsidR="00BA4517">
        <w:t xml:space="preserve"> a utilização em grande escala da modalidade pregão presencial. Essa modalidade que antes era facultativa</w:t>
      </w:r>
      <w:r w:rsidR="007017CC">
        <w:t>,</w:t>
      </w:r>
      <w:r w:rsidR="00BA4517">
        <w:t xml:space="preserve"> </w:t>
      </w:r>
      <w:r w:rsidR="008A329C">
        <w:t xml:space="preserve">agora </w:t>
      </w:r>
      <w:r w:rsidR="007017CC">
        <w:t>passa a ser obrigatória para aquisição de bens e serviços comuns.</w:t>
      </w:r>
      <w:r w:rsidR="008A329C">
        <w:t xml:space="preserve"> A lei ressalta ainda em seu artigo 17 que as licitações serão realizadas de preferência por meio eletrônico, podendo ser adotada a forma presencial desde que possua forte motivo, e mesmo assim a sessão deverá ser registrada em ata e gravada em áudio e vídeo. Essa mudança na forma de realização das licitações mostra que o município precisará atualizar-se e começar a desenvolver cada vez mais a forma eletrônica, muito pouco utilizada nesses quatro anos estudados.</w:t>
      </w:r>
      <w:r w:rsidR="001B341A">
        <w:t xml:space="preserve"> Outra mudança que a lei trouxe, foi a extinção das modalidades tomada de preços e convite, também bastante utilizadas no p</w:t>
      </w:r>
      <w:r w:rsidR="00C33869">
        <w:t>rocesso licitatório</w:t>
      </w:r>
      <w:r w:rsidR="00A03C86">
        <w:t xml:space="preserve"> do município de Taió</w:t>
      </w:r>
      <w:r w:rsidR="001B341A">
        <w:t xml:space="preserve">. </w:t>
      </w:r>
    </w:p>
    <w:p w14:paraId="6A4CF2D7" w14:textId="338D5932" w:rsidR="00723D4F" w:rsidRDefault="001366D3" w:rsidP="001F0197">
      <w:pPr>
        <w:pStyle w:val="UnidaviTexto-Espao15"/>
      </w:pPr>
      <w:r w:rsidRPr="00A02BAB">
        <w:t>Sugere-se</w:t>
      </w:r>
      <w:r w:rsidR="001B341A" w:rsidRPr="00A02BAB">
        <w:t xml:space="preserve"> </w:t>
      </w:r>
      <w:r w:rsidR="00A02BAB" w:rsidRPr="00A02BAB">
        <w:t>como</w:t>
      </w:r>
      <w:r w:rsidRPr="00A02BAB">
        <w:t xml:space="preserve"> próximos</w:t>
      </w:r>
      <w:r w:rsidR="001B341A" w:rsidRPr="00A02BAB">
        <w:t xml:space="preserve"> estudo</w:t>
      </w:r>
      <w:r w:rsidRPr="00A02BAB">
        <w:t>s</w:t>
      </w:r>
      <w:r w:rsidR="001B341A" w:rsidRPr="00A02BAB">
        <w:t xml:space="preserve"> </w:t>
      </w:r>
      <w:r w:rsidR="00A02BAB" w:rsidRPr="00A02BAB">
        <w:t>aplicados à</w:t>
      </w:r>
      <w:r w:rsidR="001B341A" w:rsidRPr="00A02BAB">
        <w:t xml:space="preserve"> </w:t>
      </w:r>
      <w:r w:rsidR="00A02BAB" w:rsidRPr="00A02BAB">
        <w:t xml:space="preserve">área da </w:t>
      </w:r>
      <w:r w:rsidR="001B341A" w:rsidRPr="00A02BAB">
        <w:t xml:space="preserve">contabilidade pública, </w:t>
      </w:r>
      <w:r w:rsidR="00A02BAB" w:rsidRPr="00A02BAB">
        <w:t>uma</w:t>
      </w:r>
      <w:r w:rsidR="001B341A" w:rsidRPr="00A02BAB">
        <w:t xml:space="preserve"> análise dos procedimentos internos em relação ao processo licitatório, </w:t>
      </w:r>
      <w:r w:rsidR="00395AC0">
        <w:t xml:space="preserve">as formas de contabilização na área pública </w:t>
      </w:r>
      <w:r w:rsidR="001B341A" w:rsidRPr="00A02BAB">
        <w:t>bem como o cumprimento do princípio da publicidade e acesso a informação.</w:t>
      </w:r>
    </w:p>
    <w:p w14:paraId="699C7B30" w14:textId="7529A1A5" w:rsidR="00F174EE" w:rsidRDefault="00F174EE" w:rsidP="00213B0F">
      <w:pPr>
        <w:spacing w:line="360" w:lineRule="auto"/>
        <w:jc w:val="center"/>
        <w:rPr>
          <w:b/>
        </w:rPr>
      </w:pPr>
      <w:r w:rsidRPr="00F174EE">
        <w:rPr>
          <w:b/>
        </w:rPr>
        <w:lastRenderedPageBreak/>
        <w:t>REFERÊNCIAS</w:t>
      </w:r>
    </w:p>
    <w:p w14:paraId="592B3891" w14:textId="77777777" w:rsidR="006E3776" w:rsidRDefault="006E3776" w:rsidP="00213B0F">
      <w:pPr>
        <w:spacing w:line="360" w:lineRule="auto"/>
        <w:jc w:val="center"/>
        <w:rPr>
          <w:b/>
        </w:rPr>
      </w:pPr>
    </w:p>
    <w:p w14:paraId="63FDB28B" w14:textId="3072344A" w:rsidR="00EA6C67" w:rsidRDefault="006E3776" w:rsidP="00FE5379">
      <w:r>
        <w:t xml:space="preserve">ALMEIDA, Herbet. </w:t>
      </w:r>
      <w:r w:rsidRPr="006E3776">
        <w:rPr>
          <w:b/>
        </w:rPr>
        <w:t>Apostila curso nova lei de licitações e contratos:</w:t>
      </w:r>
      <w:r w:rsidR="003358B0">
        <w:t xml:space="preserve"> Lei nº</w:t>
      </w:r>
      <w:r>
        <w:t xml:space="preserve">14.133/2021. </w:t>
      </w:r>
      <w:r w:rsidR="00334936">
        <w:t>Estratégia concursos: São Paulo. Disponível em: &lt;</w:t>
      </w:r>
      <w:r w:rsidR="00334936" w:rsidRPr="00334936">
        <w:t>https://www.estrategiaconcursos.com.br/loja/entrar/?goto=https://www.estrategiaconcursos.com.br/app/dashboard/cursos</w:t>
      </w:r>
      <w:r w:rsidR="00334936">
        <w:t>&gt;. Acesso em: 21 de jun. 2021.</w:t>
      </w:r>
    </w:p>
    <w:p w14:paraId="36D9FDA2" w14:textId="1561F906" w:rsidR="000B2F31" w:rsidRDefault="000B2F31" w:rsidP="00EF0D90">
      <w:pPr>
        <w:spacing w:line="360" w:lineRule="auto"/>
        <w:jc w:val="both"/>
        <w:rPr>
          <w:szCs w:val="15"/>
        </w:rPr>
      </w:pPr>
    </w:p>
    <w:p w14:paraId="63E3F263" w14:textId="46F1A87E" w:rsidR="000B2F31" w:rsidRDefault="000B2F31" w:rsidP="000B2F31">
      <w:pPr>
        <w:jc w:val="both"/>
        <w:rPr>
          <w:szCs w:val="15"/>
        </w:rPr>
      </w:pPr>
      <w:r>
        <w:rPr>
          <w:szCs w:val="15"/>
        </w:rPr>
        <w:t xml:space="preserve">ASSOCIAÇÃO DOS MUNICÍPIOS DO ALTO VALE DO ITAJAÍ. Dispõe sobre as informações dos municípios que fazem parte do Alto Vale do Itajaí. Disponível em: </w:t>
      </w:r>
      <w:hyperlink r:id="rId44" w:history="1">
        <w:r w:rsidRPr="00416A30">
          <w:rPr>
            <w:rStyle w:val="Hyperlink"/>
            <w:szCs w:val="15"/>
          </w:rPr>
          <w:t>https://www.amavi.org.br/municipios-associados/enderecos</w:t>
        </w:r>
      </w:hyperlink>
      <w:r>
        <w:rPr>
          <w:szCs w:val="15"/>
        </w:rPr>
        <w:t>. Acesso em 25 de novembro de 2021.</w:t>
      </w:r>
    </w:p>
    <w:p w14:paraId="65482A82" w14:textId="63DA13C0" w:rsidR="006E3776" w:rsidRDefault="006E3776" w:rsidP="00EF0D90">
      <w:pPr>
        <w:spacing w:line="360" w:lineRule="auto"/>
        <w:jc w:val="both"/>
        <w:rPr>
          <w:szCs w:val="15"/>
        </w:rPr>
      </w:pPr>
    </w:p>
    <w:p w14:paraId="1912B47F" w14:textId="38A55355" w:rsidR="00F843FF" w:rsidRDefault="00F843FF" w:rsidP="00F843FF">
      <w:pPr>
        <w:jc w:val="both"/>
        <w:rPr>
          <w:szCs w:val="15"/>
        </w:rPr>
      </w:pPr>
      <w:r w:rsidRPr="00EF7EF3">
        <w:rPr>
          <w:szCs w:val="15"/>
        </w:rPr>
        <w:t xml:space="preserve">AMORIM, Victor Aguiar Jardim. </w:t>
      </w:r>
      <w:r w:rsidRPr="00EF7EF3">
        <w:rPr>
          <w:b/>
          <w:szCs w:val="15"/>
        </w:rPr>
        <w:t>Licitações e contratos administrativos:</w:t>
      </w:r>
      <w:r w:rsidRPr="00EF7EF3">
        <w:rPr>
          <w:szCs w:val="15"/>
        </w:rPr>
        <w:t xml:space="preserve"> teoria e jurisprudência. Brasília: Senado Federal, 2017</w:t>
      </w:r>
      <w:r>
        <w:rPr>
          <w:szCs w:val="15"/>
        </w:rPr>
        <w:t>.</w:t>
      </w:r>
    </w:p>
    <w:p w14:paraId="397AB121" w14:textId="77777777" w:rsidR="00186AA7" w:rsidRDefault="00186AA7" w:rsidP="00395AC0">
      <w:pPr>
        <w:spacing w:line="360" w:lineRule="auto"/>
        <w:jc w:val="both"/>
        <w:rPr>
          <w:szCs w:val="15"/>
        </w:rPr>
      </w:pPr>
    </w:p>
    <w:p w14:paraId="2AF5AEF8" w14:textId="77777777" w:rsidR="00186AA7" w:rsidRPr="00DD3C99" w:rsidRDefault="00186AA7" w:rsidP="00186AA7">
      <w:pPr>
        <w:spacing w:line="360" w:lineRule="auto"/>
        <w:jc w:val="both"/>
        <w:rPr>
          <w:szCs w:val="15"/>
        </w:rPr>
      </w:pPr>
      <w:r>
        <w:rPr>
          <w:szCs w:val="15"/>
        </w:rPr>
        <w:t>ATLAS BRASIL. Dispõe sobre informações de desenvolvimento dos municípios. Disponível em</w:t>
      </w:r>
      <w:r w:rsidRPr="00186AA7">
        <w:rPr>
          <w:szCs w:val="15"/>
        </w:rPr>
        <w:t xml:space="preserve">: </w:t>
      </w:r>
      <w:hyperlink r:id="rId45" w:history="1">
        <w:r w:rsidRPr="00186AA7">
          <w:rPr>
            <w:rStyle w:val="Hyperlink"/>
          </w:rPr>
          <w:t>http://www.atlasbrasil.org.br/</w:t>
        </w:r>
      </w:hyperlink>
      <w:r w:rsidRPr="00186AA7">
        <w:t>.</w:t>
      </w:r>
      <w:r>
        <w:rPr>
          <w:b/>
        </w:rPr>
        <w:t xml:space="preserve"> </w:t>
      </w:r>
      <w:r w:rsidRPr="00186AA7">
        <w:t>Acesso em 28 de novembro de 2021.</w:t>
      </w:r>
    </w:p>
    <w:p w14:paraId="66F551B2" w14:textId="700A5198" w:rsidR="00F843FF" w:rsidRDefault="00F843FF" w:rsidP="00EF0D90">
      <w:pPr>
        <w:spacing w:line="360" w:lineRule="auto"/>
        <w:jc w:val="both"/>
        <w:rPr>
          <w:szCs w:val="15"/>
        </w:rPr>
      </w:pPr>
    </w:p>
    <w:p w14:paraId="6E6C6810" w14:textId="77777777" w:rsidR="00F843FF" w:rsidRDefault="00F843FF" w:rsidP="00F843FF">
      <w:pPr>
        <w:jc w:val="both"/>
        <w:rPr>
          <w:szCs w:val="15"/>
        </w:rPr>
      </w:pPr>
      <w:r w:rsidRPr="00CF34A4">
        <w:rPr>
          <w:szCs w:val="15"/>
        </w:rPr>
        <w:t>BACELLAR FILHO, Romeu Felipe. </w:t>
      </w:r>
      <w:r w:rsidRPr="00CF34A4">
        <w:rPr>
          <w:b/>
          <w:bCs/>
          <w:szCs w:val="15"/>
        </w:rPr>
        <w:t>Direito administrativo. </w:t>
      </w:r>
      <w:r w:rsidRPr="00CF34A4">
        <w:rPr>
          <w:szCs w:val="15"/>
        </w:rPr>
        <w:t>3. ed. São Paulo: Saraiva, 2007. </w:t>
      </w:r>
    </w:p>
    <w:p w14:paraId="768E4B1F" w14:textId="27388559" w:rsidR="00F843FF" w:rsidRDefault="00F843FF" w:rsidP="00EF0D90">
      <w:pPr>
        <w:spacing w:line="360" w:lineRule="auto"/>
        <w:jc w:val="both"/>
      </w:pPr>
    </w:p>
    <w:p w14:paraId="332ECCB6" w14:textId="658B238E" w:rsidR="00F174EE" w:rsidRDefault="00EA6C67" w:rsidP="00213B0F">
      <w:pPr>
        <w:jc w:val="both"/>
      </w:pPr>
      <w:r w:rsidRPr="00EA6C67">
        <w:t>BLANCHET, Luiz Alberto. </w:t>
      </w:r>
      <w:r w:rsidRPr="00EA6C67">
        <w:rPr>
          <w:b/>
          <w:bCs/>
        </w:rPr>
        <w:t>Curso de direito administrativo. </w:t>
      </w:r>
      <w:r w:rsidRPr="00EA6C67">
        <w:t>Curitiba: Juruá, 2007.</w:t>
      </w:r>
    </w:p>
    <w:p w14:paraId="25DFDA00" w14:textId="2EAEA005" w:rsidR="00F843FF" w:rsidRDefault="00F843FF" w:rsidP="00EF0D90">
      <w:pPr>
        <w:spacing w:line="360" w:lineRule="auto"/>
        <w:jc w:val="both"/>
      </w:pPr>
    </w:p>
    <w:p w14:paraId="4B817666" w14:textId="1DCF6681" w:rsidR="00F843FF" w:rsidRDefault="00F843FF" w:rsidP="00F843FF">
      <w:pPr>
        <w:jc w:val="both"/>
        <w:rPr>
          <w:szCs w:val="15"/>
        </w:rPr>
      </w:pPr>
      <w:r>
        <w:rPr>
          <w:szCs w:val="15"/>
        </w:rPr>
        <w:t xml:space="preserve">BRASIL, Lei nº 8.666, de 21 de junho de 1993. Regulamenta o art. 37, inciso XXI, da Constituição Federal, institui normas para licitações e contratos da Administração Pública e dá outras providências. </w:t>
      </w:r>
      <w:r w:rsidRPr="004C756E">
        <w:rPr>
          <w:b/>
          <w:szCs w:val="15"/>
        </w:rPr>
        <w:t>Diário Oficial [da República Federativa do Brasil],</w:t>
      </w:r>
      <w:r>
        <w:rPr>
          <w:szCs w:val="15"/>
        </w:rPr>
        <w:t xml:space="preserve"> Brasília, DF.</w:t>
      </w:r>
      <w:r w:rsidR="006E3776">
        <w:rPr>
          <w:szCs w:val="15"/>
        </w:rPr>
        <w:t xml:space="preserve"> Disponível em:</w:t>
      </w:r>
      <w:r w:rsidR="001F5DA4">
        <w:rPr>
          <w:szCs w:val="15"/>
        </w:rPr>
        <w:t xml:space="preserve"> </w:t>
      </w:r>
      <w:r w:rsidR="001F5DA4">
        <w:t>&lt;</w:t>
      </w:r>
      <w:r w:rsidR="001F5DA4" w:rsidRPr="001F5DA4">
        <w:t>http://www.planalto.gov.br/ccivil_03/leis/l8666cons.htm</w:t>
      </w:r>
      <w:r w:rsidR="001F5DA4">
        <w:t>&gt;. Acesso em: 21 de jun. 2021.</w:t>
      </w:r>
    </w:p>
    <w:p w14:paraId="40A7F355" w14:textId="77777777" w:rsidR="00F843FF" w:rsidRDefault="00F843FF" w:rsidP="00EF0D90">
      <w:pPr>
        <w:spacing w:line="360" w:lineRule="auto"/>
        <w:jc w:val="both"/>
        <w:rPr>
          <w:szCs w:val="15"/>
        </w:rPr>
      </w:pPr>
    </w:p>
    <w:p w14:paraId="062EDA46" w14:textId="385F4107" w:rsidR="00F843FF" w:rsidRDefault="003F5388" w:rsidP="00F843FF">
      <w:pPr>
        <w:jc w:val="both"/>
        <w:rPr>
          <w:szCs w:val="15"/>
        </w:rPr>
      </w:pPr>
      <w:r>
        <w:rPr>
          <w:szCs w:val="15"/>
        </w:rPr>
        <w:t>__________</w:t>
      </w:r>
      <w:r w:rsidR="00F843FF">
        <w:rPr>
          <w:szCs w:val="15"/>
        </w:rPr>
        <w:t xml:space="preserve">_. Lei nº 10.520, de 17 de julho de 2002. Institui no âmbito da União, Estados, Distrito Federal e Municípios, nos termos do art. 37, inciso XXI, da Constituição Federal, modalidade de licitação denominada pregão, para aquisição de bens e serviços comuns, e dá outras providências. </w:t>
      </w:r>
      <w:r w:rsidR="00F843FF" w:rsidRPr="004C756E">
        <w:rPr>
          <w:b/>
          <w:szCs w:val="15"/>
        </w:rPr>
        <w:t>Diário Oficial [da República Federativa do Brasil],</w:t>
      </w:r>
      <w:r w:rsidR="00F843FF">
        <w:rPr>
          <w:szCs w:val="15"/>
        </w:rPr>
        <w:t xml:space="preserve"> Brasília, DF.</w:t>
      </w:r>
      <w:r w:rsidR="001F5DA4">
        <w:rPr>
          <w:szCs w:val="15"/>
        </w:rPr>
        <w:t xml:space="preserve"> Disponível em: </w:t>
      </w:r>
      <w:r w:rsidR="001F5DA4">
        <w:t>&lt;</w:t>
      </w:r>
      <w:r w:rsidR="001F5DA4" w:rsidRPr="001F5DA4">
        <w:rPr>
          <w:szCs w:val="15"/>
        </w:rPr>
        <w:t>http://www.planalto.gov.br/ccivil_03/leis/2002/l10520.htm</w:t>
      </w:r>
      <w:r w:rsidR="00440BF2">
        <w:rPr>
          <w:szCs w:val="15"/>
        </w:rPr>
        <w:t xml:space="preserve"> </w:t>
      </w:r>
      <w:r w:rsidR="001F5DA4">
        <w:t>&gt;. Acesso em: 21 de jun. 2021.</w:t>
      </w:r>
    </w:p>
    <w:p w14:paraId="4E787377" w14:textId="77777777" w:rsidR="00F843FF" w:rsidRDefault="00F843FF" w:rsidP="00EF0D90">
      <w:pPr>
        <w:spacing w:line="360" w:lineRule="auto"/>
        <w:jc w:val="both"/>
        <w:rPr>
          <w:szCs w:val="15"/>
        </w:rPr>
      </w:pPr>
    </w:p>
    <w:p w14:paraId="7DF2735E" w14:textId="2E617AE8" w:rsidR="00F843FF" w:rsidRDefault="00F843FF" w:rsidP="00F843FF">
      <w:pPr>
        <w:jc w:val="both"/>
      </w:pPr>
      <w:r>
        <w:rPr>
          <w:szCs w:val="15"/>
        </w:rPr>
        <w:t xml:space="preserve">___________. Lei nº 14.133 de 1º de abril de 2021. Lei de Licitações e Contratos Administrativos. </w:t>
      </w:r>
      <w:r w:rsidRPr="004C756E">
        <w:rPr>
          <w:b/>
          <w:szCs w:val="15"/>
        </w:rPr>
        <w:t>Diário Oficial [da República Federativa do Brasil],</w:t>
      </w:r>
      <w:r>
        <w:rPr>
          <w:szCs w:val="15"/>
        </w:rPr>
        <w:t xml:space="preserve"> Brasília, DF.</w:t>
      </w:r>
      <w:r w:rsidR="00440BF2">
        <w:rPr>
          <w:szCs w:val="15"/>
        </w:rPr>
        <w:t xml:space="preserve"> Disponível em: </w:t>
      </w:r>
      <w:r w:rsidR="00440BF2">
        <w:t>&lt;</w:t>
      </w:r>
      <w:r w:rsidR="00440BF2" w:rsidRPr="00440BF2">
        <w:t>http://www.planalto.gov.br/ccivil_03/_ato2019-2022/2021/lei/L14133.htm</w:t>
      </w:r>
      <w:r w:rsidR="00440BF2">
        <w:t>&gt;. Acesso em: 21 de jun. 2021.</w:t>
      </w:r>
    </w:p>
    <w:p w14:paraId="6CB4F07E" w14:textId="752CADAC" w:rsidR="00065477" w:rsidRDefault="00065477" w:rsidP="00F843FF">
      <w:pPr>
        <w:jc w:val="both"/>
      </w:pPr>
    </w:p>
    <w:p w14:paraId="4E0F9D97" w14:textId="3D8919F3" w:rsidR="00065477" w:rsidRDefault="00065477" w:rsidP="00F843FF">
      <w:pPr>
        <w:jc w:val="both"/>
        <w:rPr>
          <w:szCs w:val="15"/>
        </w:rPr>
      </w:pPr>
      <w:r>
        <w:rPr>
          <w:szCs w:val="15"/>
        </w:rPr>
        <w:t>___________. Lei Complementar n</w:t>
      </w:r>
      <w:r w:rsidR="003F5388">
        <w:rPr>
          <w:szCs w:val="15"/>
        </w:rPr>
        <w:t xml:space="preserve">º 123 de 14 de dezembro de 2006. </w:t>
      </w:r>
      <w:r w:rsidR="003F5388" w:rsidRPr="003F5388">
        <w:t>Institui o Estatuto Nacional da Microempresa e da Empresa de Pequeno Porte; altera dispositivos das Leis n</w:t>
      </w:r>
      <w:r w:rsidR="003F5388" w:rsidRPr="003F5388">
        <w:rPr>
          <w:u w:val="single"/>
          <w:vertAlign w:val="superscript"/>
        </w:rPr>
        <w:t>o</w:t>
      </w:r>
      <w:r w:rsidR="003F5388" w:rsidRPr="003F5388">
        <w:t> 8.212 e 8.213, ambas de 24 de julho de 1991, da Consolidação das Leis do Trabalho - CLT, aprovada pelo Decreto-Lei n</w:t>
      </w:r>
      <w:r w:rsidR="003F5388" w:rsidRPr="003F5388">
        <w:rPr>
          <w:u w:val="single"/>
          <w:vertAlign w:val="superscript"/>
        </w:rPr>
        <w:t>o</w:t>
      </w:r>
      <w:r w:rsidR="003F5388" w:rsidRPr="003F5388">
        <w:t> 5.452, de 1</w:t>
      </w:r>
      <w:r w:rsidR="003F5388" w:rsidRPr="003F5388">
        <w:rPr>
          <w:u w:val="single"/>
          <w:vertAlign w:val="superscript"/>
        </w:rPr>
        <w:t>o</w:t>
      </w:r>
      <w:r w:rsidR="003F5388" w:rsidRPr="003F5388">
        <w:t> de maio de 1943, da Lei n</w:t>
      </w:r>
      <w:r w:rsidR="003F5388" w:rsidRPr="003F5388">
        <w:rPr>
          <w:u w:val="single"/>
          <w:vertAlign w:val="superscript"/>
        </w:rPr>
        <w:t>o</w:t>
      </w:r>
      <w:r w:rsidR="003F5388" w:rsidRPr="003F5388">
        <w:t xml:space="preserve"> 10.189, de 14 </w:t>
      </w:r>
      <w:r w:rsidR="003F5388" w:rsidRPr="003F5388">
        <w:lastRenderedPageBreak/>
        <w:t>de fevereiro de 2001, da Lei Complementar n</w:t>
      </w:r>
      <w:r w:rsidR="003F5388" w:rsidRPr="003F5388">
        <w:rPr>
          <w:u w:val="single"/>
          <w:vertAlign w:val="superscript"/>
        </w:rPr>
        <w:t>o</w:t>
      </w:r>
      <w:r w:rsidR="003F5388" w:rsidRPr="003F5388">
        <w:t> 63, de 11 de janeiro de 1990; e revoga as Leis n</w:t>
      </w:r>
      <w:r w:rsidR="003F5388" w:rsidRPr="003F5388">
        <w:rPr>
          <w:u w:val="single"/>
          <w:vertAlign w:val="superscript"/>
        </w:rPr>
        <w:t>o</w:t>
      </w:r>
      <w:r w:rsidR="003F5388" w:rsidRPr="003F5388">
        <w:t> 9.317, de 5 de dezembro de 1996, e 9.841, de 5 de outubro de 1999.</w:t>
      </w:r>
      <w:r w:rsidR="003F5388">
        <w:t xml:space="preserve"> </w:t>
      </w:r>
      <w:r w:rsidR="003F5388" w:rsidRPr="004C756E">
        <w:rPr>
          <w:b/>
          <w:szCs w:val="15"/>
        </w:rPr>
        <w:t>Diário Oficial [da República Federativa do Brasil</w:t>
      </w:r>
      <w:r w:rsidR="003F5388" w:rsidRPr="003F5388">
        <w:rPr>
          <w:szCs w:val="15"/>
        </w:rPr>
        <w:t>], Brasília</w:t>
      </w:r>
      <w:r w:rsidR="003F5388">
        <w:rPr>
          <w:szCs w:val="15"/>
        </w:rPr>
        <w:t xml:space="preserve">, DF. Disponível em: </w:t>
      </w:r>
      <w:hyperlink r:id="rId46" w:history="1">
        <w:r w:rsidR="003F5388" w:rsidRPr="00086D2E">
          <w:rPr>
            <w:rStyle w:val="Hyperlink"/>
            <w:szCs w:val="15"/>
          </w:rPr>
          <w:t>http://www.planalto.gov.br/ccivil_03/leis/lcp/lcp123.htm</w:t>
        </w:r>
      </w:hyperlink>
      <w:r w:rsidR="003F5388">
        <w:t>&gt;. Acesso em 28 de nov. 2021.</w:t>
      </w:r>
    </w:p>
    <w:p w14:paraId="5940E6DE" w14:textId="77777777" w:rsidR="00F843FF" w:rsidRDefault="00F843FF" w:rsidP="00EF0D90">
      <w:pPr>
        <w:spacing w:line="360" w:lineRule="auto"/>
        <w:jc w:val="both"/>
        <w:rPr>
          <w:szCs w:val="15"/>
        </w:rPr>
      </w:pPr>
    </w:p>
    <w:p w14:paraId="29E5A718" w14:textId="73F825C8" w:rsidR="00F843FF" w:rsidRDefault="00F843FF" w:rsidP="003F5388">
      <w:pPr>
        <w:jc w:val="both"/>
        <w:rPr>
          <w:szCs w:val="15"/>
        </w:rPr>
      </w:pPr>
      <w:r>
        <w:rPr>
          <w:szCs w:val="15"/>
        </w:rPr>
        <w:t xml:space="preserve">___________. Decreto nº 10.024 de 20 de setembro de 2019. Regulamenta a licitação, na modalidade Pregão, na forma eletrônica, para aquisição de bens e a contratação de serviços comuns de engenharia, e dispõe sobre o uso da dispensa eletrônica, no âmbito da administração pública federal. </w:t>
      </w:r>
      <w:r w:rsidRPr="004C756E">
        <w:rPr>
          <w:b/>
          <w:szCs w:val="15"/>
        </w:rPr>
        <w:t>Diário Oficial [da República Federativa do Brasil],</w:t>
      </w:r>
      <w:r>
        <w:rPr>
          <w:szCs w:val="15"/>
        </w:rPr>
        <w:t xml:space="preserve"> Brasília, DF.</w:t>
      </w:r>
      <w:r w:rsidR="006E3776">
        <w:rPr>
          <w:szCs w:val="15"/>
        </w:rPr>
        <w:t xml:space="preserve"> </w:t>
      </w:r>
      <w:r w:rsidR="00440BF2">
        <w:rPr>
          <w:szCs w:val="15"/>
        </w:rPr>
        <w:t xml:space="preserve">Disponível em: </w:t>
      </w:r>
      <w:r w:rsidR="00440BF2">
        <w:t>&lt;</w:t>
      </w:r>
      <w:r w:rsidR="00440BF2" w:rsidRPr="00440BF2">
        <w:t>http://www.planalto.gov.br/ccivil_03/_Ato2019-2022/2019/Decreto/D10024.htm</w:t>
      </w:r>
      <w:r w:rsidR="00440BF2">
        <w:t>&gt;. Acesso em: 21 de jun. 2021.</w:t>
      </w:r>
    </w:p>
    <w:p w14:paraId="6A481264" w14:textId="77777777" w:rsidR="00F843FF" w:rsidRDefault="00F843FF" w:rsidP="00EF0D90">
      <w:pPr>
        <w:spacing w:line="360" w:lineRule="auto"/>
        <w:jc w:val="both"/>
        <w:rPr>
          <w:szCs w:val="15"/>
        </w:rPr>
      </w:pPr>
    </w:p>
    <w:p w14:paraId="69F67BE3" w14:textId="2631BF82" w:rsidR="00F843FF" w:rsidRDefault="00F843FF" w:rsidP="00EF0D90">
      <w:pPr>
        <w:spacing w:line="360" w:lineRule="auto"/>
        <w:jc w:val="both"/>
        <w:rPr>
          <w:szCs w:val="15"/>
        </w:rPr>
      </w:pPr>
      <w:r>
        <w:rPr>
          <w:szCs w:val="15"/>
        </w:rPr>
        <w:t xml:space="preserve">___________. </w:t>
      </w:r>
      <w:r w:rsidRPr="008935A1">
        <w:rPr>
          <w:b/>
          <w:szCs w:val="15"/>
        </w:rPr>
        <w:t>Co</w:t>
      </w:r>
      <w:r w:rsidR="000666EA">
        <w:rPr>
          <w:b/>
          <w:szCs w:val="15"/>
        </w:rPr>
        <w:t>nstituição Federativa do Brasil</w:t>
      </w:r>
      <w:r w:rsidR="000666EA">
        <w:rPr>
          <w:szCs w:val="15"/>
        </w:rPr>
        <w:t>.</w:t>
      </w:r>
      <w:r>
        <w:rPr>
          <w:szCs w:val="15"/>
        </w:rPr>
        <w:t xml:space="preserve"> </w:t>
      </w:r>
      <w:r w:rsidRPr="000666EA">
        <w:rPr>
          <w:szCs w:val="15"/>
        </w:rPr>
        <w:t>2016.</w:t>
      </w:r>
      <w:r w:rsidR="000666EA">
        <w:rPr>
          <w:szCs w:val="15"/>
        </w:rPr>
        <w:t xml:space="preserve"> Edição Administrativa do Senado Federal.</w:t>
      </w:r>
    </w:p>
    <w:p w14:paraId="39A659AB" w14:textId="6FDAEAA8" w:rsidR="00F843FF" w:rsidRDefault="00F843FF" w:rsidP="00EF0D90">
      <w:pPr>
        <w:spacing w:line="360" w:lineRule="auto"/>
        <w:jc w:val="both"/>
        <w:rPr>
          <w:szCs w:val="15"/>
        </w:rPr>
      </w:pPr>
    </w:p>
    <w:p w14:paraId="6F7C979A" w14:textId="75CBE04D" w:rsidR="00F843FF" w:rsidRPr="00293E95" w:rsidRDefault="00F843FF" w:rsidP="00F843FF">
      <w:pPr>
        <w:jc w:val="both"/>
        <w:rPr>
          <w:i/>
          <w:szCs w:val="15"/>
        </w:rPr>
      </w:pPr>
      <w:r>
        <w:rPr>
          <w:szCs w:val="15"/>
        </w:rPr>
        <w:t xml:space="preserve">CRESWELL, John W. </w:t>
      </w:r>
      <w:r w:rsidR="003C0DAE">
        <w:rPr>
          <w:b/>
          <w:szCs w:val="15"/>
        </w:rPr>
        <w:t>Projeto de p</w:t>
      </w:r>
      <w:r w:rsidRPr="00350018">
        <w:rPr>
          <w:b/>
          <w:szCs w:val="15"/>
        </w:rPr>
        <w:t xml:space="preserve">esquisa: </w:t>
      </w:r>
      <w:r w:rsidR="003C0DAE">
        <w:rPr>
          <w:szCs w:val="15"/>
        </w:rPr>
        <w:t>métodos qualitativo, quantitativo e m</w:t>
      </w:r>
      <w:r w:rsidRPr="006E3776">
        <w:rPr>
          <w:szCs w:val="15"/>
        </w:rPr>
        <w:t>isto.</w:t>
      </w:r>
      <w:r>
        <w:rPr>
          <w:szCs w:val="15"/>
        </w:rPr>
        <w:t xml:space="preserve"> 3. ed. Porto Alegre: Artmed, 2010. </w:t>
      </w:r>
      <w:r w:rsidRPr="00293E95">
        <w:rPr>
          <w:i/>
          <w:szCs w:val="15"/>
        </w:rPr>
        <w:t>Ebook</w:t>
      </w:r>
    </w:p>
    <w:p w14:paraId="21DF6CB1" w14:textId="092D250E" w:rsidR="00A957F9" w:rsidRDefault="00A957F9" w:rsidP="00EF0D90">
      <w:pPr>
        <w:spacing w:line="360" w:lineRule="auto"/>
        <w:jc w:val="both"/>
      </w:pPr>
    </w:p>
    <w:p w14:paraId="1AF430C2" w14:textId="16D7AE69" w:rsidR="00EA6C67" w:rsidRDefault="00A957F9" w:rsidP="00CF34A4">
      <w:pPr>
        <w:jc w:val="both"/>
        <w:rPr>
          <w:szCs w:val="15"/>
        </w:rPr>
      </w:pPr>
      <w:r w:rsidRPr="00A957F9">
        <w:rPr>
          <w:szCs w:val="15"/>
        </w:rPr>
        <w:t>DI PIETRO, Maria Sylvia Zanella. </w:t>
      </w:r>
      <w:r w:rsidRPr="00A957F9">
        <w:rPr>
          <w:b/>
          <w:bCs/>
          <w:szCs w:val="15"/>
        </w:rPr>
        <w:t>Direito administrativo. </w:t>
      </w:r>
      <w:r w:rsidRPr="00A957F9">
        <w:rPr>
          <w:szCs w:val="15"/>
        </w:rPr>
        <w:t>21 ed. São Paulo: Atlas, 2008.</w:t>
      </w:r>
    </w:p>
    <w:p w14:paraId="6B4ABB7F" w14:textId="40EE6F20" w:rsidR="00F843FF" w:rsidRDefault="00F843FF" w:rsidP="00EF0D90">
      <w:pPr>
        <w:spacing w:line="360" w:lineRule="auto"/>
        <w:jc w:val="both"/>
        <w:rPr>
          <w:szCs w:val="15"/>
        </w:rPr>
      </w:pPr>
    </w:p>
    <w:p w14:paraId="23FB0635" w14:textId="7B8FE76F" w:rsidR="00F843FF" w:rsidRDefault="00F843FF" w:rsidP="00F843FF">
      <w:pPr>
        <w:jc w:val="both"/>
        <w:rPr>
          <w:szCs w:val="15"/>
        </w:rPr>
      </w:pPr>
      <w:r>
        <w:rPr>
          <w:szCs w:val="15"/>
        </w:rPr>
        <w:t xml:space="preserve">GIL, Antônio Carlos. </w:t>
      </w:r>
      <w:r w:rsidR="003C0DAE">
        <w:rPr>
          <w:b/>
          <w:szCs w:val="15"/>
        </w:rPr>
        <w:t>Métodos e técnicas de pesquisa s</w:t>
      </w:r>
      <w:r w:rsidRPr="00350018">
        <w:rPr>
          <w:b/>
          <w:szCs w:val="15"/>
        </w:rPr>
        <w:t>ocial.</w:t>
      </w:r>
      <w:r>
        <w:rPr>
          <w:szCs w:val="15"/>
        </w:rPr>
        <w:t xml:space="preserve"> 7. ed. São Paulo: Atlas, 2019. </w:t>
      </w:r>
      <w:r w:rsidRPr="00293E95">
        <w:rPr>
          <w:i/>
          <w:szCs w:val="15"/>
        </w:rPr>
        <w:t>Ebook</w:t>
      </w:r>
      <w:r>
        <w:rPr>
          <w:i/>
          <w:szCs w:val="15"/>
        </w:rPr>
        <w:t xml:space="preserve"> </w:t>
      </w:r>
    </w:p>
    <w:p w14:paraId="38577BF4" w14:textId="5B863488" w:rsidR="00AB7ED0" w:rsidRDefault="00AB7ED0" w:rsidP="00395AC0">
      <w:pPr>
        <w:spacing w:line="360" w:lineRule="auto"/>
        <w:jc w:val="both"/>
        <w:rPr>
          <w:szCs w:val="15"/>
        </w:rPr>
      </w:pPr>
    </w:p>
    <w:p w14:paraId="292D9677" w14:textId="225CF468" w:rsidR="00DD3C99" w:rsidRDefault="00DD3C99" w:rsidP="00395AC0">
      <w:pPr>
        <w:spacing w:after="160" w:line="259" w:lineRule="auto"/>
      </w:pPr>
      <w:r w:rsidRPr="00DD3C99">
        <w:t>IBGE</w:t>
      </w:r>
      <w:r>
        <w:t xml:space="preserve"> – INSTITUTO BRASILEIRO DE GEOGRAFIA E ESTATÍSTICA. Dispõe sobre informações panorâmicas dos municípios. Disponível em: </w:t>
      </w:r>
      <w:hyperlink r:id="rId47" w:history="1">
        <w:r w:rsidRPr="00DD3C99">
          <w:rPr>
            <w:rStyle w:val="Hyperlink"/>
          </w:rPr>
          <w:t>https://cidades.ibge.gov.br/brasil/sc/taio/panorama</w:t>
        </w:r>
      </w:hyperlink>
      <w:r w:rsidRPr="00DD3C99">
        <w:t>. Acesso em 28</w:t>
      </w:r>
      <w:r>
        <w:rPr>
          <w:b/>
        </w:rPr>
        <w:t xml:space="preserve"> </w:t>
      </w:r>
      <w:r w:rsidRPr="00DD3C99">
        <w:t>de novembro de 2021.</w:t>
      </w:r>
    </w:p>
    <w:p w14:paraId="6318F679" w14:textId="77777777" w:rsidR="00395AC0" w:rsidRPr="00DD3C99" w:rsidRDefault="00395AC0" w:rsidP="00395AC0">
      <w:pPr>
        <w:spacing w:after="160"/>
      </w:pPr>
    </w:p>
    <w:p w14:paraId="2A4455B8" w14:textId="33AAE31B" w:rsidR="00A957F9" w:rsidRPr="00DD3C99" w:rsidRDefault="00AB7ED0" w:rsidP="00DD3C99">
      <w:pPr>
        <w:spacing w:after="160" w:line="259" w:lineRule="auto"/>
      </w:pPr>
      <w:r w:rsidRPr="00AB7ED0">
        <w:rPr>
          <w:szCs w:val="15"/>
        </w:rPr>
        <w:t>JUSTEN FILHO, Marçal. </w:t>
      </w:r>
      <w:r w:rsidRPr="00AB7ED0">
        <w:rPr>
          <w:b/>
          <w:bCs/>
          <w:szCs w:val="15"/>
        </w:rPr>
        <w:t>Curso de direito administrativo. </w:t>
      </w:r>
      <w:r w:rsidRPr="00AB7ED0">
        <w:rPr>
          <w:szCs w:val="15"/>
        </w:rPr>
        <w:t>3. ed. rev. e atual. São Paulo: Saraiva, 2008.</w:t>
      </w:r>
    </w:p>
    <w:p w14:paraId="71750D90" w14:textId="7BCD58B8" w:rsidR="008C4DBF" w:rsidRDefault="008C4DBF" w:rsidP="00395AC0">
      <w:pPr>
        <w:jc w:val="both"/>
        <w:rPr>
          <w:szCs w:val="15"/>
        </w:rPr>
      </w:pPr>
    </w:p>
    <w:p w14:paraId="6E610106" w14:textId="68AA32E0" w:rsidR="008C4DBF" w:rsidRDefault="008C4DBF" w:rsidP="00CF34A4">
      <w:pPr>
        <w:jc w:val="both"/>
        <w:rPr>
          <w:szCs w:val="15"/>
        </w:rPr>
      </w:pPr>
      <w:r w:rsidRPr="008C4DBF">
        <w:rPr>
          <w:szCs w:val="15"/>
        </w:rPr>
        <w:t>MELLO, Celso Antônio Bandeira de. </w:t>
      </w:r>
      <w:r w:rsidRPr="008C4DBF">
        <w:rPr>
          <w:b/>
          <w:bCs/>
          <w:szCs w:val="15"/>
        </w:rPr>
        <w:t>Curso de direito administrativo. </w:t>
      </w:r>
      <w:r w:rsidRPr="008C4DBF">
        <w:rPr>
          <w:szCs w:val="15"/>
        </w:rPr>
        <w:t>23. ed. rev. e atual. São Paulo: Malheiros, 2007. </w:t>
      </w:r>
    </w:p>
    <w:p w14:paraId="646EA82C" w14:textId="5FCD8B19" w:rsidR="008C4DBF" w:rsidRDefault="008C4DBF" w:rsidP="00EF0D90">
      <w:pPr>
        <w:spacing w:line="360" w:lineRule="auto"/>
        <w:jc w:val="both"/>
        <w:rPr>
          <w:szCs w:val="15"/>
        </w:rPr>
      </w:pPr>
    </w:p>
    <w:p w14:paraId="042625C5" w14:textId="01EE76F1" w:rsidR="00F843FF" w:rsidRDefault="00F843FF" w:rsidP="00F843FF">
      <w:pPr>
        <w:jc w:val="both"/>
        <w:rPr>
          <w:szCs w:val="15"/>
        </w:rPr>
      </w:pPr>
      <w:r w:rsidRPr="00A957F9">
        <w:rPr>
          <w:szCs w:val="15"/>
        </w:rPr>
        <w:t>MEIRELLES, Hely Lopes. </w:t>
      </w:r>
      <w:r w:rsidRPr="00A957F9">
        <w:rPr>
          <w:b/>
          <w:bCs/>
          <w:szCs w:val="15"/>
        </w:rPr>
        <w:t>Direito administrativo brasileiro. </w:t>
      </w:r>
      <w:r>
        <w:rPr>
          <w:szCs w:val="15"/>
        </w:rPr>
        <w:t>33. ed.</w:t>
      </w:r>
      <w:r w:rsidRPr="00A957F9">
        <w:rPr>
          <w:szCs w:val="15"/>
        </w:rPr>
        <w:t xml:space="preserve"> atual. São Paulo: Malheiros, 2007</w:t>
      </w:r>
      <w:r>
        <w:rPr>
          <w:szCs w:val="15"/>
        </w:rPr>
        <w:t>.</w:t>
      </w:r>
    </w:p>
    <w:p w14:paraId="3455A463" w14:textId="7DFDAA3E" w:rsidR="00723D4F" w:rsidRDefault="00723D4F" w:rsidP="00EF0D90">
      <w:pPr>
        <w:spacing w:line="360" w:lineRule="auto"/>
        <w:jc w:val="both"/>
        <w:rPr>
          <w:szCs w:val="15"/>
        </w:rPr>
      </w:pPr>
    </w:p>
    <w:p w14:paraId="07791293" w14:textId="707A277A" w:rsidR="00723D4F" w:rsidRDefault="00723D4F" w:rsidP="00F843FF">
      <w:pPr>
        <w:jc w:val="both"/>
        <w:rPr>
          <w:szCs w:val="15"/>
        </w:rPr>
      </w:pPr>
      <w:r>
        <w:rPr>
          <w:szCs w:val="15"/>
        </w:rPr>
        <w:t>PORTAL DA TRANSPARÊNCIA DA PREFEITURA MUNICIPAL DE TAIÓ. Disp</w:t>
      </w:r>
      <w:r w:rsidR="00313299">
        <w:rPr>
          <w:szCs w:val="15"/>
        </w:rPr>
        <w:t xml:space="preserve">õe </w:t>
      </w:r>
      <w:r>
        <w:rPr>
          <w:szCs w:val="15"/>
        </w:rPr>
        <w:t>sobr</w:t>
      </w:r>
      <w:r w:rsidR="00313299">
        <w:rPr>
          <w:szCs w:val="15"/>
        </w:rPr>
        <w:t>e as informações orçamentárias da prefeitura municipal de Taió. Disponível em</w:t>
      </w:r>
      <w:r w:rsidR="001366D3">
        <w:rPr>
          <w:szCs w:val="15"/>
        </w:rPr>
        <w:t>:</w:t>
      </w:r>
      <w:r w:rsidR="00313299">
        <w:rPr>
          <w:szCs w:val="15"/>
        </w:rPr>
        <w:t xml:space="preserve"> </w:t>
      </w:r>
      <w:hyperlink r:id="rId48" w:anchor="!/grupo/1/item/1/tipo/1" w:history="1">
        <w:r w:rsidR="00313299" w:rsidRPr="008A393D">
          <w:rPr>
            <w:rStyle w:val="Hyperlink"/>
            <w:szCs w:val="15"/>
          </w:rPr>
          <w:t>https://taio.atende.net/?pg=transparencia#!/grupo/1/item/1/tipo/1</w:t>
        </w:r>
      </w:hyperlink>
      <w:r w:rsidR="00313299">
        <w:rPr>
          <w:szCs w:val="15"/>
        </w:rPr>
        <w:t>. Acesso em 13 de novembro de 2021.</w:t>
      </w:r>
    </w:p>
    <w:p w14:paraId="4B5E70BA" w14:textId="01A9034D" w:rsidR="00CF34A4" w:rsidRDefault="00DD3C99" w:rsidP="00EF0D90">
      <w:pPr>
        <w:spacing w:line="360" w:lineRule="auto"/>
        <w:jc w:val="both"/>
        <w:rPr>
          <w:szCs w:val="15"/>
        </w:rPr>
      </w:pPr>
      <w:r>
        <w:rPr>
          <w:szCs w:val="15"/>
        </w:rPr>
        <w:t xml:space="preserve"> </w:t>
      </w:r>
    </w:p>
    <w:p w14:paraId="691928C6" w14:textId="40F8A6DF" w:rsidR="00DD3C99" w:rsidRDefault="00DD3C99" w:rsidP="003F5388">
      <w:pPr>
        <w:spacing w:line="360" w:lineRule="auto"/>
        <w:rPr>
          <w:b/>
        </w:rPr>
      </w:pPr>
    </w:p>
    <w:p w14:paraId="2EE40FF5" w14:textId="77777777" w:rsidR="00DD3C99" w:rsidRDefault="00DD3C99" w:rsidP="00213B0F">
      <w:pPr>
        <w:spacing w:line="360" w:lineRule="auto"/>
        <w:jc w:val="center"/>
        <w:rPr>
          <w:b/>
        </w:rPr>
      </w:pPr>
    </w:p>
    <w:p w14:paraId="611337E7" w14:textId="25464D76" w:rsidR="00626708" w:rsidRDefault="00626708" w:rsidP="00213B0F">
      <w:pPr>
        <w:spacing w:line="360" w:lineRule="auto"/>
        <w:jc w:val="center"/>
        <w:rPr>
          <w:b/>
        </w:rPr>
      </w:pPr>
      <w:r>
        <w:rPr>
          <w:b/>
        </w:rPr>
        <w:lastRenderedPageBreak/>
        <w:t>ANEXO 1</w:t>
      </w:r>
      <w:r w:rsidR="00065477">
        <w:rPr>
          <w:b/>
        </w:rPr>
        <w:t xml:space="preserve"> </w:t>
      </w:r>
      <w:r>
        <w:rPr>
          <w:b/>
        </w:rPr>
        <w:t xml:space="preserve">– </w:t>
      </w:r>
      <w:r w:rsidR="000612CB">
        <w:rPr>
          <w:b/>
        </w:rPr>
        <w:t xml:space="preserve">Imagens dos </w:t>
      </w:r>
      <w:r>
        <w:rPr>
          <w:b/>
        </w:rPr>
        <w:t>Principais Pontos Turísticos de Taió</w:t>
      </w:r>
    </w:p>
    <w:p w14:paraId="6FA509FC" w14:textId="77777777" w:rsidR="00462690" w:rsidRDefault="00462690" w:rsidP="00213B0F">
      <w:pPr>
        <w:spacing w:line="360" w:lineRule="auto"/>
        <w:jc w:val="center"/>
        <w:rPr>
          <w:b/>
        </w:rPr>
      </w:pPr>
    </w:p>
    <w:p w14:paraId="342AED77" w14:textId="08BAA0CF" w:rsidR="00626708" w:rsidRPr="00E57331" w:rsidRDefault="00462690" w:rsidP="00462690">
      <w:pPr>
        <w:pStyle w:val="UnidaviTexto-Espao15"/>
        <w:spacing w:line="240" w:lineRule="auto"/>
        <w:ind w:firstLine="0"/>
        <w:rPr>
          <w:b/>
        </w:rPr>
      </w:pPr>
      <w:r w:rsidRPr="00E57331">
        <w:rPr>
          <w:b/>
        </w:rPr>
        <w:t>Portal de chegada ao munic</w:t>
      </w:r>
      <w:r w:rsidR="00E57331">
        <w:rPr>
          <w:b/>
        </w:rPr>
        <w:t>ípio</w:t>
      </w:r>
    </w:p>
    <w:p w14:paraId="295BE870" w14:textId="795D59A8" w:rsidR="007F00D7" w:rsidRDefault="00626708" w:rsidP="00462690">
      <w:pPr>
        <w:pStyle w:val="UnidaviTexto-Espao15"/>
        <w:spacing w:line="240" w:lineRule="auto"/>
        <w:ind w:right="142" w:firstLine="0"/>
      </w:pPr>
      <w:r>
        <w:rPr>
          <w:noProof/>
        </w:rPr>
        <w:drawing>
          <wp:inline distT="0" distB="0" distL="0" distR="0" wp14:anchorId="3C0FD20A" wp14:editId="4B57FBBC">
            <wp:extent cx="5528310" cy="3033395"/>
            <wp:effectExtent l="0" t="0" r="0" b="0"/>
            <wp:docPr id="55" name="Imagem 55" descr="Pode ser uma imagem de comida e cé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de ser uma imagem de comida e cé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0151" cy="3034405"/>
                    </a:xfrm>
                    <a:prstGeom prst="rect">
                      <a:avLst/>
                    </a:prstGeom>
                    <a:noFill/>
                    <a:ln>
                      <a:noFill/>
                    </a:ln>
                  </pic:spPr>
                </pic:pic>
              </a:graphicData>
            </a:graphic>
          </wp:inline>
        </w:drawing>
      </w:r>
    </w:p>
    <w:p w14:paraId="418E523B" w14:textId="060F3431" w:rsidR="00626708" w:rsidRDefault="00E57331" w:rsidP="00626708">
      <w:pPr>
        <w:pStyle w:val="UnidaviTexto-Espao15"/>
        <w:spacing w:line="240" w:lineRule="auto"/>
        <w:ind w:firstLine="0"/>
        <w:rPr>
          <w:sz w:val="20"/>
        </w:rPr>
      </w:pPr>
      <w:r w:rsidRPr="00E57331">
        <w:rPr>
          <w:sz w:val="20"/>
        </w:rPr>
        <w:t xml:space="preserve">Fonte: </w:t>
      </w:r>
      <w:hyperlink r:id="rId50" w:history="1">
        <w:r w:rsidRPr="00086D2E">
          <w:rPr>
            <w:rStyle w:val="Hyperlink"/>
            <w:sz w:val="20"/>
          </w:rPr>
          <w:t>https://turismo.taio.sc.gov.br/</w:t>
        </w:r>
      </w:hyperlink>
    </w:p>
    <w:p w14:paraId="2ACE1BFC" w14:textId="77777777" w:rsidR="00E57331" w:rsidRPr="00E57331" w:rsidRDefault="00E57331" w:rsidP="00626708">
      <w:pPr>
        <w:pStyle w:val="UnidaviTexto-Espao15"/>
        <w:spacing w:line="240" w:lineRule="auto"/>
        <w:ind w:firstLine="0"/>
        <w:rPr>
          <w:sz w:val="20"/>
        </w:rPr>
      </w:pPr>
    </w:p>
    <w:p w14:paraId="04A9A0D0" w14:textId="4EC30BBB" w:rsidR="00626708" w:rsidRDefault="00626708" w:rsidP="00626708">
      <w:pPr>
        <w:pStyle w:val="UnidaviTexto-Espao15"/>
        <w:spacing w:line="240" w:lineRule="auto"/>
        <w:ind w:firstLine="0"/>
      </w:pPr>
    </w:p>
    <w:p w14:paraId="2BA5D5A2" w14:textId="77777777" w:rsidR="001526A7" w:rsidRDefault="001526A7" w:rsidP="00626708">
      <w:pPr>
        <w:pStyle w:val="UnidaviTexto-Espao15"/>
        <w:spacing w:line="240" w:lineRule="auto"/>
        <w:ind w:firstLine="0"/>
      </w:pPr>
    </w:p>
    <w:p w14:paraId="44A77AED" w14:textId="159D5DAC" w:rsidR="00626708" w:rsidRPr="00E57331" w:rsidRDefault="00462690" w:rsidP="00462690">
      <w:pPr>
        <w:pStyle w:val="UnidaviTexto-Espao15"/>
        <w:spacing w:line="240" w:lineRule="auto"/>
        <w:ind w:firstLine="0"/>
        <w:contextualSpacing/>
        <w:rPr>
          <w:b/>
        </w:rPr>
      </w:pPr>
      <w:r w:rsidRPr="00E57331">
        <w:rPr>
          <w:b/>
        </w:rPr>
        <w:t>Prefeitura Municipal</w:t>
      </w:r>
    </w:p>
    <w:p w14:paraId="0E77B96F" w14:textId="36B46D7E" w:rsidR="00626708" w:rsidRDefault="00462690" w:rsidP="00626708">
      <w:pPr>
        <w:pStyle w:val="UnidaviTexto-Espao15"/>
        <w:spacing w:line="240" w:lineRule="auto"/>
        <w:ind w:firstLine="0"/>
      </w:pPr>
      <w:r>
        <w:rPr>
          <w:noProof/>
        </w:rPr>
        <w:drawing>
          <wp:inline distT="0" distB="0" distL="0" distR="0" wp14:anchorId="42D94879" wp14:editId="24BE31A9">
            <wp:extent cx="5528733" cy="3709358"/>
            <wp:effectExtent l="0" t="0" r="0" b="5715"/>
            <wp:docPr id="62" name="Imagem 62" descr="Prefeitura de Taió abre Processo Seletivo para contratação de Mediador em  Tecnologia de Informática e, Zelador de Escola - Município de Ta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feitura de Taió abre Processo Seletivo para contratação de Mediador em  Tecnologia de Informática e, Zelador de Escola - Município de Taió"/>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39255" cy="3716418"/>
                    </a:xfrm>
                    <a:prstGeom prst="rect">
                      <a:avLst/>
                    </a:prstGeom>
                    <a:noFill/>
                    <a:ln>
                      <a:noFill/>
                    </a:ln>
                  </pic:spPr>
                </pic:pic>
              </a:graphicData>
            </a:graphic>
          </wp:inline>
        </w:drawing>
      </w:r>
    </w:p>
    <w:p w14:paraId="41E74142" w14:textId="75ABCDCF" w:rsidR="00626708" w:rsidRPr="00E57331" w:rsidRDefault="00E57331" w:rsidP="00626708">
      <w:pPr>
        <w:pStyle w:val="UnidaviTexto-Espao15"/>
        <w:spacing w:line="240" w:lineRule="auto"/>
        <w:ind w:firstLine="0"/>
        <w:rPr>
          <w:sz w:val="20"/>
        </w:rPr>
      </w:pPr>
      <w:r w:rsidRPr="00E57331">
        <w:rPr>
          <w:sz w:val="20"/>
        </w:rPr>
        <w:t xml:space="preserve">Fonte: </w:t>
      </w:r>
      <w:hyperlink r:id="rId52" w:history="1">
        <w:r w:rsidRPr="00086D2E">
          <w:rPr>
            <w:rStyle w:val="Hyperlink"/>
            <w:sz w:val="20"/>
          </w:rPr>
          <w:t>https://turismo.taio.sc.gov.br/</w:t>
        </w:r>
      </w:hyperlink>
    </w:p>
    <w:p w14:paraId="5BBAA184" w14:textId="733F96DD" w:rsidR="00626708" w:rsidRDefault="00626708" w:rsidP="00626708">
      <w:pPr>
        <w:pStyle w:val="UnidaviTexto-Espao15"/>
        <w:spacing w:line="240" w:lineRule="auto"/>
        <w:ind w:firstLine="0"/>
      </w:pPr>
    </w:p>
    <w:p w14:paraId="698B85EF" w14:textId="334C8483" w:rsidR="00626708" w:rsidRDefault="00626708" w:rsidP="00626708">
      <w:pPr>
        <w:pStyle w:val="UnidaviTexto-Espao15"/>
        <w:spacing w:line="240" w:lineRule="auto"/>
        <w:ind w:firstLine="0"/>
      </w:pPr>
    </w:p>
    <w:p w14:paraId="198454D5" w14:textId="05FE53B6" w:rsidR="001526A7" w:rsidRDefault="001526A7" w:rsidP="00626708">
      <w:pPr>
        <w:pStyle w:val="UnidaviTexto-Espao15"/>
        <w:spacing w:line="240" w:lineRule="auto"/>
        <w:ind w:firstLine="0"/>
      </w:pPr>
    </w:p>
    <w:p w14:paraId="08DE1EF3" w14:textId="77777777" w:rsidR="001526A7" w:rsidRDefault="001526A7" w:rsidP="00626708">
      <w:pPr>
        <w:pStyle w:val="UnidaviTexto-Espao15"/>
        <w:spacing w:line="240" w:lineRule="auto"/>
        <w:ind w:firstLine="0"/>
      </w:pPr>
    </w:p>
    <w:p w14:paraId="38E0C216" w14:textId="186B7052" w:rsidR="00626708" w:rsidRPr="00E57331" w:rsidRDefault="00462690" w:rsidP="00626708">
      <w:pPr>
        <w:pStyle w:val="UnidaviTexto-Espao15"/>
        <w:spacing w:line="240" w:lineRule="auto"/>
        <w:ind w:firstLine="0"/>
        <w:rPr>
          <w:b/>
        </w:rPr>
      </w:pPr>
      <w:r w:rsidRPr="00E57331">
        <w:rPr>
          <w:b/>
        </w:rPr>
        <w:t>Câmara de Vereadores</w:t>
      </w:r>
    </w:p>
    <w:p w14:paraId="4DAA48E3" w14:textId="05473348" w:rsidR="00626708" w:rsidRDefault="00626708" w:rsidP="00626708">
      <w:pPr>
        <w:pStyle w:val="UnidaviTexto-Espao15"/>
        <w:spacing w:line="240" w:lineRule="auto"/>
        <w:ind w:firstLine="0"/>
      </w:pPr>
      <w:r>
        <w:rPr>
          <w:noProof/>
        </w:rPr>
        <w:drawing>
          <wp:inline distT="0" distB="0" distL="0" distR="0" wp14:anchorId="78936FCD" wp14:editId="2B27B2EE">
            <wp:extent cx="5581015" cy="3715470"/>
            <wp:effectExtent l="0" t="0" r="635" b="0"/>
            <wp:docPr id="63" name="Imagem 63" descr="Conheça os 76 candidatos a vereador, em Taió - Taió - Tribuna do V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heça os 76 candidatos a vereador, em Taió - Taió - Tribuna do Va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015" cy="3715470"/>
                    </a:xfrm>
                    <a:prstGeom prst="rect">
                      <a:avLst/>
                    </a:prstGeom>
                    <a:noFill/>
                    <a:ln>
                      <a:noFill/>
                    </a:ln>
                  </pic:spPr>
                </pic:pic>
              </a:graphicData>
            </a:graphic>
          </wp:inline>
        </w:drawing>
      </w:r>
    </w:p>
    <w:p w14:paraId="186FC150" w14:textId="77777777" w:rsidR="00E57331" w:rsidRDefault="00E57331" w:rsidP="00E57331">
      <w:pPr>
        <w:pStyle w:val="UnidaviTexto-Espao15"/>
        <w:spacing w:line="240" w:lineRule="auto"/>
        <w:ind w:firstLine="0"/>
        <w:rPr>
          <w:sz w:val="20"/>
        </w:rPr>
      </w:pPr>
      <w:r w:rsidRPr="00E57331">
        <w:rPr>
          <w:sz w:val="20"/>
        </w:rPr>
        <w:t xml:space="preserve">Fonte: </w:t>
      </w:r>
      <w:hyperlink r:id="rId54" w:history="1">
        <w:r w:rsidRPr="00086D2E">
          <w:rPr>
            <w:rStyle w:val="Hyperlink"/>
            <w:sz w:val="20"/>
          </w:rPr>
          <w:t>https://turismo.taio.sc.gov.br/</w:t>
        </w:r>
      </w:hyperlink>
    </w:p>
    <w:p w14:paraId="163BCFBD" w14:textId="77777777" w:rsidR="00626708" w:rsidRPr="00626708" w:rsidRDefault="00626708" w:rsidP="00626708">
      <w:pPr>
        <w:pStyle w:val="UnidaviTexto-Espao15"/>
        <w:spacing w:line="240" w:lineRule="auto"/>
        <w:ind w:firstLine="0"/>
      </w:pPr>
    </w:p>
    <w:p w14:paraId="0F87B26C" w14:textId="30FA3F4B" w:rsidR="00626708" w:rsidRDefault="00626708" w:rsidP="00213B0F">
      <w:pPr>
        <w:spacing w:line="360" w:lineRule="auto"/>
        <w:rPr>
          <w:noProof/>
          <w:lang w:eastAsia="pt-BR"/>
        </w:rPr>
      </w:pPr>
    </w:p>
    <w:p w14:paraId="17713747" w14:textId="5D602247" w:rsidR="000612CB" w:rsidRPr="00E57331" w:rsidRDefault="00462690" w:rsidP="00462690">
      <w:pPr>
        <w:rPr>
          <w:b/>
          <w:noProof/>
          <w:lang w:eastAsia="pt-BR"/>
        </w:rPr>
      </w:pPr>
      <w:r w:rsidRPr="00E57331">
        <w:rPr>
          <w:b/>
          <w:noProof/>
          <w:lang w:eastAsia="pt-BR"/>
        </w:rPr>
        <w:t xml:space="preserve">Igreja Católica Matriz </w:t>
      </w:r>
    </w:p>
    <w:p w14:paraId="0DCA1669" w14:textId="43EA383F" w:rsidR="00E57331" w:rsidRPr="00E57331" w:rsidRDefault="00626708" w:rsidP="00E57331">
      <w:pPr>
        <w:rPr>
          <w:b/>
        </w:rPr>
      </w:pPr>
      <w:r>
        <w:rPr>
          <w:noProof/>
          <w:lang w:eastAsia="pt-BR"/>
        </w:rPr>
        <w:drawing>
          <wp:inline distT="0" distB="0" distL="0" distR="0" wp14:anchorId="39B99BA5" wp14:editId="76405D8A">
            <wp:extent cx="5581015" cy="3674853"/>
            <wp:effectExtent l="0" t="0" r="635" b="1905"/>
            <wp:docPr id="56" name="Imagem 56" descr="http://observasctur.com.br/wp-content/uploads/2020/09/Igreja-Matriz-de-Tai%C3%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servasctur.com.br/wp-content/uploads/2020/09/Igreja-Matriz-de-Tai%C3%B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0020" cy="3680782"/>
                    </a:xfrm>
                    <a:prstGeom prst="rect">
                      <a:avLst/>
                    </a:prstGeom>
                    <a:noFill/>
                    <a:ln>
                      <a:noFill/>
                    </a:ln>
                  </pic:spPr>
                </pic:pic>
              </a:graphicData>
            </a:graphic>
          </wp:inline>
        </w:drawing>
      </w:r>
      <w:r w:rsidR="00E57331" w:rsidRPr="00E57331">
        <w:rPr>
          <w:sz w:val="20"/>
        </w:rPr>
        <w:t xml:space="preserve">Fonte: </w:t>
      </w:r>
      <w:hyperlink r:id="rId56" w:history="1">
        <w:r w:rsidR="00E57331" w:rsidRPr="00086D2E">
          <w:rPr>
            <w:rStyle w:val="Hyperlink"/>
            <w:sz w:val="20"/>
          </w:rPr>
          <w:t>https://turismo.taio.sc.gov.br/</w:t>
        </w:r>
      </w:hyperlink>
    </w:p>
    <w:p w14:paraId="01AC76D3" w14:textId="77777777" w:rsidR="000612CB" w:rsidRDefault="000612CB" w:rsidP="00213B0F">
      <w:pPr>
        <w:spacing w:line="360" w:lineRule="auto"/>
        <w:rPr>
          <w:noProof/>
          <w:lang w:eastAsia="pt-BR"/>
        </w:rPr>
      </w:pPr>
    </w:p>
    <w:p w14:paraId="1394A71B" w14:textId="77777777" w:rsidR="000612CB" w:rsidRDefault="000612CB" w:rsidP="00213B0F">
      <w:pPr>
        <w:spacing w:line="360" w:lineRule="auto"/>
        <w:rPr>
          <w:noProof/>
          <w:lang w:eastAsia="pt-BR"/>
        </w:rPr>
      </w:pPr>
    </w:p>
    <w:p w14:paraId="6D8D5092" w14:textId="4E525D9D" w:rsidR="000612CB" w:rsidRPr="00E57331" w:rsidRDefault="000612CB" w:rsidP="000612CB">
      <w:pPr>
        <w:rPr>
          <w:b/>
          <w:noProof/>
          <w:lang w:eastAsia="pt-BR"/>
        </w:rPr>
      </w:pPr>
      <w:r w:rsidRPr="00E57331">
        <w:rPr>
          <w:b/>
          <w:noProof/>
          <w:lang w:eastAsia="pt-BR"/>
        </w:rPr>
        <w:t>Igreja Evangélica de Confissão Luterana</w:t>
      </w:r>
    </w:p>
    <w:p w14:paraId="4C8AC760" w14:textId="3F58CF6C" w:rsidR="00E57331" w:rsidRPr="00E57331" w:rsidRDefault="00626708" w:rsidP="00E57331">
      <w:pPr>
        <w:tabs>
          <w:tab w:val="left" w:pos="8647"/>
        </w:tabs>
        <w:rPr>
          <w:b/>
        </w:rPr>
      </w:pPr>
      <w:r>
        <w:rPr>
          <w:noProof/>
          <w:lang w:eastAsia="pt-BR"/>
        </w:rPr>
        <w:drawing>
          <wp:inline distT="0" distB="0" distL="0" distR="0" wp14:anchorId="4853BD06" wp14:editId="32131AAB">
            <wp:extent cx="5554980" cy="3786996"/>
            <wp:effectExtent l="0" t="0" r="7620" b="4445"/>
            <wp:docPr id="57" name="Imagem 57" descr="https://static.fecam.net.br/thumbs/2037/2167204_resize_1500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fecam.net.br/thumbs/2037/2167204_resize_1500_150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2921" cy="3799227"/>
                    </a:xfrm>
                    <a:prstGeom prst="rect">
                      <a:avLst/>
                    </a:prstGeom>
                    <a:noFill/>
                    <a:ln>
                      <a:noFill/>
                    </a:ln>
                  </pic:spPr>
                </pic:pic>
              </a:graphicData>
            </a:graphic>
          </wp:inline>
        </w:drawing>
      </w:r>
      <w:r w:rsidR="00E57331" w:rsidRPr="00E57331">
        <w:rPr>
          <w:sz w:val="20"/>
        </w:rPr>
        <w:t xml:space="preserve">Fonte: </w:t>
      </w:r>
      <w:hyperlink r:id="rId58" w:history="1">
        <w:r w:rsidR="00E57331" w:rsidRPr="00086D2E">
          <w:rPr>
            <w:rStyle w:val="Hyperlink"/>
            <w:sz w:val="20"/>
          </w:rPr>
          <w:t>https://turismo.taio.sc.gov.br/</w:t>
        </w:r>
      </w:hyperlink>
    </w:p>
    <w:p w14:paraId="01DE13A1" w14:textId="707E1A97" w:rsidR="000612CB" w:rsidRDefault="000612CB" w:rsidP="00E57331">
      <w:pPr>
        <w:pStyle w:val="UnidaviTexto-Espao15"/>
        <w:ind w:firstLine="0"/>
        <w:rPr>
          <w:rFonts w:eastAsia="SimSun" w:cs="Times New Roman"/>
          <w:b/>
          <w:lang w:eastAsia="zh-CN"/>
        </w:rPr>
      </w:pPr>
    </w:p>
    <w:p w14:paraId="30CF1083" w14:textId="77777777" w:rsidR="000612CB" w:rsidRDefault="000612CB" w:rsidP="000612CB">
      <w:pPr>
        <w:pStyle w:val="UnidaviTexto-Espao15"/>
        <w:rPr>
          <w:rFonts w:eastAsia="SimSun" w:cs="Times New Roman"/>
          <w:b/>
          <w:lang w:eastAsia="zh-CN"/>
        </w:rPr>
      </w:pPr>
    </w:p>
    <w:p w14:paraId="5EB0A13A" w14:textId="32304BF0" w:rsidR="000612CB" w:rsidRPr="00E57331" w:rsidRDefault="000612CB" w:rsidP="000612CB">
      <w:pPr>
        <w:pStyle w:val="UnidaviTexto-Espao15"/>
        <w:spacing w:line="240" w:lineRule="auto"/>
        <w:ind w:firstLine="0"/>
        <w:contextualSpacing/>
        <w:rPr>
          <w:b/>
        </w:rPr>
      </w:pPr>
      <w:r w:rsidRPr="00E57331">
        <w:rPr>
          <w:b/>
        </w:rPr>
        <w:t>MUPAH - Museu Paleontológico, Arqueológico e Histórico Prefeito Bertoldo Jacobsen</w:t>
      </w:r>
    </w:p>
    <w:p w14:paraId="3B1C934B" w14:textId="2BEC09BB" w:rsidR="00626708" w:rsidRPr="00E57331" w:rsidRDefault="000612CB" w:rsidP="00E57331">
      <w:pPr>
        <w:contextualSpacing/>
        <w:rPr>
          <w:b/>
        </w:rPr>
      </w:pPr>
      <w:r>
        <w:rPr>
          <w:noProof/>
          <w:lang w:eastAsia="pt-BR"/>
        </w:rPr>
        <w:drawing>
          <wp:inline distT="0" distB="0" distL="0" distR="0" wp14:anchorId="146F7E15" wp14:editId="2174FFA4">
            <wp:extent cx="5564038" cy="3518535"/>
            <wp:effectExtent l="0" t="0" r="0" b="5715"/>
            <wp:docPr id="58" name="Imagem 58" descr="http://observasctur.com.br/wp-content/uploads/2020/09/Museu-Paleo-Arqueol%C3%B3gico-e-Hist%C3%B3rico-Prefeito-Bertoldo-Jacob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bservasctur.com.br/wp-content/uploads/2020/09/Museu-Paleo-Arqueol%C3%B3gico-e-Hist%C3%B3rico-Prefeito-Bertoldo-Jacobse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6381" cy="3532664"/>
                    </a:xfrm>
                    <a:prstGeom prst="rect">
                      <a:avLst/>
                    </a:prstGeom>
                    <a:noFill/>
                    <a:ln>
                      <a:noFill/>
                    </a:ln>
                  </pic:spPr>
                </pic:pic>
              </a:graphicData>
            </a:graphic>
          </wp:inline>
        </w:drawing>
      </w:r>
      <w:r w:rsidR="00E57331" w:rsidRPr="00E57331">
        <w:rPr>
          <w:sz w:val="20"/>
        </w:rPr>
        <w:t xml:space="preserve">Fonte: </w:t>
      </w:r>
      <w:hyperlink r:id="rId60" w:history="1">
        <w:r w:rsidR="00E57331" w:rsidRPr="00086D2E">
          <w:rPr>
            <w:rStyle w:val="Hyperlink"/>
            <w:sz w:val="20"/>
          </w:rPr>
          <w:t>https://turismo.taio.sc.gov.br/</w:t>
        </w:r>
      </w:hyperlink>
    </w:p>
    <w:p w14:paraId="330E146B" w14:textId="41B5254D" w:rsidR="00626708" w:rsidRDefault="00626708" w:rsidP="00213B0F">
      <w:pPr>
        <w:spacing w:line="360" w:lineRule="auto"/>
        <w:rPr>
          <w:b/>
        </w:rPr>
      </w:pPr>
    </w:p>
    <w:p w14:paraId="5D64CBD2" w14:textId="11E116A3" w:rsidR="00626708" w:rsidRPr="00E57331" w:rsidRDefault="000612CB" w:rsidP="000612CB">
      <w:pPr>
        <w:pStyle w:val="UnidaviTexto-Espao15"/>
        <w:spacing w:line="240" w:lineRule="auto"/>
        <w:ind w:firstLine="0"/>
        <w:rPr>
          <w:b/>
        </w:rPr>
      </w:pPr>
      <w:r w:rsidRPr="00E57331">
        <w:rPr>
          <w:b/>
        </w:rPr>
        <w:lastRenderedPageBreak/>
        <w:t>Ponte Roberto Machado</w:t>
      </w:r>
    </w:p>
    <w:p w14:paraId="1A44A887" w14:textId="77DB8A23" w:rsidR="00C37E6A" w:rsidRPr="00C37E6A" w:rsidRDefault="00626708" w:rsidP="00C37E6A">
      <w:pPr>
        <w:rPr>
          <w:b/>
        </w:rPr>
      </w:pPr>
      <w:r>
        <w:rPr>
          <w:noProof/>
          <w:lang w:eastAsia="pt-BR"/>
        </w:rPr>
        <w:drawing>
          <wp:inline distT="0" distB="0" distL="0" distR="0" wp14:anchorId="4E7E36A9" wp14:editId="38F63DC8">
            <wp:extent cx="5562873" cy="3700732"/>
            <wp:effectExtent l="0" t="0" r="0" b="0"/>
            <wp:docPr id="59" name="Imagem 59" descr="http://observasctur.com.br/wp-content/uploads/2020/09/Ponte-Roberto-Mach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bservasctur.com.br/wp-content/uploads/2020/09/Ponte-Roberto-Machado.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1249" cy="3712957"/>
                    </a:xfrm>
                    <a:prstGeom prst="rect">
                      <a:avLst/>
                    </a:prstGeom>
                    <a:noFill/>
                    <a:ln>
                      <a:noFill/>
                    </a:ln>
                  </pic:spPr>
                </pic:pic>
              </a:graphicData>
            </a:graphic>
          </wp:inline>
        </w:drawing>
      </w:r>
      <w:r w:rsidR="00C37E6A" w:rsidRPr="00E57331">
        <w:rPr>
          <w:sz w:val="20"/>
        </w:rPr>
        <w:t xml:space="preserve">Fonte: </w:t>
      </w:r>
      <w:hyperlink r:id="rId62" w:history="1">
        <w:r w:rsidR="00C37E6A" w:rsidRPr="00086D2E">
          <w:rPr>
            <w:rStyle w:val="Hyperlink"/>
            <w:sz w:val="20"/>
          </w:rPr>
          <w:t>https://turismo.taio.sc.gov.br/</w:t>
        </w:r>
      </w:hyperlink>
    </w:p>
    <w:p w14:paraId="577CD024" w14:textId="6D7190C6" w:rsidR="00626708" w:rsidRDefault="00626708" w:rsidP="00213B0F">
      <w:pPr>
        <w:spacing w:line="360" w:lineRule="auto"/>
        <w:rPr>
          <w:b/>
        </w:rPr>
      </w:pPr>
    </w:p>
    <w:p w14:paraId="38CBE6B4" w14:textId="35CF0ECA" w:rsidR="00626708" w:rsidRDefault="00626708" w:rsidP="00213B0F">
      <w:pPr>
        <w:spacing w:line="360" w:lineRule="auto"/>
        <w:rPr>
          <w:b/>
        </w:rPr>
      </w:pPr>
    </w:p>
    <w:p w14:paraId="637720EA" w14:textId="3CC7337C" w:rsidR="000612CB" w:rsidRPr="00C37E6A" w:rsidRDefault="000612CB" w:rsidP="000612CB">
      <w:pPr>
        <w:pStyle w:val="UnidaviTexto-Espao15"/>
        <w:spacing w:line="240" w:lineRule="auto"/>
        <w:ind w:firstLine="0"/>
        <w:rPr>
          <w:b/>
        </w:rPr>
      </w:pPr>
      <w:r w:rsidRPr="00C37E6A">
        <w:rPr>
          <w:b/>
        </w:rPr>
        <w:t>Morro da Vó Salvelina</w:t>
      </w:r>
    </w:p>
    <w:p w14:paraId="78C1E4F8" w14:textId="06F7781C" w:rsidR="00C37E6A" w:rsidRPr="00C37E6A" w:rsidRDefault="00626708" w:rsidP="00C37E6A">
      <w:pPr>
        <w:rPr>
          <w:b/>
        </w:rPr>
      </w:pPr>
      <w:r>
        <w:rPr>
          <w:noProof/>
          <w:lang w:eastAsia="pt-BR"/>
        </w:rPr>
        <w:drawing>
          <wp:inline distT="0" distB="0" distL="0" distR="0" wp14:anchorId="422F487E" wp14:editId="298A357D">
            <wp:extent cx="5563870" cy="3683480"/>
            <wp:effectExtent l="0" t="0" r="0" b="0"/>
            <wp:docPr id="60" name="Imagem 60" descr="http://observasctur.com.br/wp-content/uploads/2020/09/Morro-da-v%C3%B3-Salvel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bservasctur.com.br/wp-content/uploads/2020/09/Morro-da-v%C3%B3-Salvelina.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1703" cy="3688666"/>
                    </a:xfrm>
                    <a:prstGeom prst="rect">
                      <a:avLst/>
                    </a:prstGeom>
                    <a:noFill/>
                    <a:ln>
                      <a:noFill/>
                    </a:ln>
                  </pic:spPr>
                </pic:pic>
              </a:graphicData>
            </a:graphic>
          </wp:inline>
        </w:drawing>
      </w:r>
      <w:r w:rsidR="00C37E6A" w:rsidRPr="00E57331">
        <w:rPr>
          <w:sz w:val="20"/>
        </w:rPr>
        <w:t xml:space="preserve">Fonte: </w:t>
      </w:r>
      <w:hyperlink r:id="rId64" w:history="1">
        <w:r w:rsidR="00C37E6A" w:rsidRPr="00086D2E">
          <w:rPr>
            <w:rStyle w:val="Hyperlink"/>
            <w:sz w:val="20"/>
          </w:rPr>
          <w:t>https://turismo.taio.sc.gov.br/</w:t>
        </w:r>
      </w:hyperlink>
    </w:p>
    <w:p w14:paraId="7CEDB123" w14:textId="33A7EA0A" w:rsidR="00626708" w:rsidRDefault="00626708" w:rsidP="00213B0F">
      <w:pPr>
        <w:spacing w:line="360" w:lineRule="auto"/>
        <w:rPr>
          <w:b/>
        </w:rPr>
      </w:pPr>
    </w:p>
    <w:p w14:paraId="4ED3613D" w14:textId="1AF7136C" w:rsidR="00745EF9" w:rsidRPr="00C37E6A" w:rsidRDefault="00745EF9" w:rsidP="00E57331">
      <w:pPr>
        <w:pStyle w:val="UnidaviTexto-Espao15"/>
        <w:spacing w:line="240" w:lineRule="auto"/>
        <w:ind w:firstLine="0"/>
        <w:rPr>
          <w:b/>
        </w:rPr>
      </w:pPr>
      <w:r w:rsidRPr="00C37E6A">
        <w:rPr>
          <w:b/>
        </w:rPr>
        <w:lastRenderedPageBreak/>
        <w:t>Projeto – Pontos de encontro</w:t>
      </w:r>
    </w:p>
    <w:p w14:paraId="6861D060" w14:textId="201B589E" w:rsidR="00C37E6A" w:rsidRPr="00C37E6A" w:rsidRDefault="00745EF9" w:rsidP="00C37E6A">
      <w:pPr>
        <w:rPr>
          <w:b/>
        </w:rPr>
      </w:pPr>
      <w:r>
        <w:rPr>
          <w:noProof/>
          <w:lang w:eastAsia="pt-BR"/>
        </w:rPr>
        <w:drawing>
          <wp:anchor distT="0" distB="0" distL="114300" distR="114300" simplePos="0" relativeHeight="251698176" behindDoc="0" locked="0" layoutInCell="1" allowOverlap="1" wp14:anchorId="27200D4F" wp14:editId="7EC66E38">
            <wp:simplePos x="0" y="0"/>
            <wp:positionH relativeFrom="margin">
              <wp:align>right</wp:align>
            </wp:positionH>
            <wp:positionV relativeFrom="margin">
              <wp:posOffset>182245</wp:posOffset>
            </wp:positionV>
            <wp:extent cx="2682240" cy="2362835"/>
            <wp:effectExtent l="0" t="0" r="3810" b="0"/>
            <wp:wrapSquare wrapText="bothSides"/>
            <wp:docPr id="194" name="Imagem 194" descr="https://www.diarioav.com.br/wp-content/uploads/2021/05/WhatsApp-Image-2021-05-27-at-18.3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iarioav.com.br/wp-content/uploads/2021/05/WhatsApp-Image-2021-05-27-at-18.39.02.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82240" cy="2362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w:drawing>
          <wp:inline distT="0" distB="0" distL="0" distR="0" wp14:anchorId="4F82300B" wp14:editId="4158A7E6">
            <wp:extent cx="2656149" cy="2372264"/>
            <wp:effectExtent l="0" t="0" r="0" b="9525"/>
            <wp:docPr id="193" name="Imagem 193" descr="TAIÓ: Projeto de revitalização finaliza mais um ponto de ônibus no município  - D+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IÓ: Projeto de revitalização finaliza mais um ponto de ônibus no município  - D+New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567" cy="2388714"/>
                    </a:xfrm>
                    <a:prstGeom prst="rect">
                      <a:avLst/>
                    </a:prstGeom>
                    <a:noFill/>
                    <a:ln>
                      <a:noFill/>
                    </a:ln>
                  </pic:spPr>
                </pic:pic>
              </a:graphicData>
            </a:graphic>
          </wp:inline>
        </w:drawing>
      </w:r>
      <w:r w:rsidR="00C37E6A" w:rsidRPr="00E57331">
        <w:rPr>
          <w:sz w:val="20"/>
        </w:rPr>
        <w:t xml:space="preserve">Fonte: </w:t>
      </w:r>
      <w:hyperlink r:id="rId67" w:history="1">
        <w:r w:rsidR="00C37E6A" w:rsidRPr="00086D2E">
          <w:rPr>
            <w:rStyle w:val="Hyperlink"/>
            <w:sz w:val="20"/>
          </w:rPr>
          <w:t>https://turismo.taio.sc.gov.br/</w:t>
        </w:r>
      </w:hyperlink>
    </w:p>
    <w:p w14:paraId="7223F9DE" w14:textId="77777777" w:rsidR="00C37E6A" w:rsidRDefault="00C37E6A" w:rsidP="00745EF9">
      <w:pPr>
        <w:spacing w:line="360" w:lineRule="auto"/>
        <w:ind w:left="5245" w:hanging="5245"/>
        <w:rPr>
          <w:b/>
        </w:rPr>
      </w:pPr>
    </w:p>
    <w:p w14:paraId="3197359D" w14:textId="77777777" w:rsidR="00E57331" w:rsidRDefault="00E57331" w:rsidP="00745EF9">
      <w:pPr>
        <w:spacing w:line="360" w:lineRule="auto"/>
        <w:ind w:left="5245" w:hanging="5245"/>
        <w:rPr>
          <w:b/>
        </w:rPr>
      </w:pPr>
    </w:p>
    <w:p w14:paraId="067A4783" w14:textId="69040BBF" w:rsidR="00E57331" w:rsidRPr="00C37E6A" w:rsidRDefault="00E57331" w:rsidP="00E57331">
      <w:pPr>
        <w:pStyle w:val="UnidaviTexto-Espao15"/>
        <w:spacing w:line="240" w:lineRule="auto"/>
        <w:ind w:firstLine="0"/>
        <w:rPr>
          <w:b/>
        </w:rPr>
      </w:pPr>
      <w:r w:rsidRPr="00C37E6A">
        <w:rPr>
          <w:b/>
        </w:rPr>
        <w:t>Portal de Pedra da Pechincha</w:t>
      </w:r>
    </w:p>
    <w:p w14:paraId="4F04AC56" w14:textId="4CE1C2B7" w:rsidR="00462690" w:rsidRPr="00A957F9" w:rsidRDefault="00E57331" w:rsidP="00C33869">
      <w:pPr>
        <w:rPr>
          <w:b/>
        </w:rPr>
      </w:pPr>
      <w:r>
        <w:rPr>
          <w:noProof/>
          <w:lang w:eastAsia="pt-BR"/>
        </w:rPr>
        <w:drawing>
          <wp:inline distT="0" distB="0" distL="0" distR="0" wp14:anchorId="57A9C7A3" wp14:editId="201E4B83">
            <wp:extent cx="5563870" cy="4226944"/>
            <wp:effectExtent l="0" t="0" r="0" b="2540"/>
            <wp:docPr id="195" name="Imagem 195" descr="https://static.fecam.net.br/thumbs/2037/2944724_resize_1500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fecam.net.br/thumbs/2037/2944724_resize_1500_150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88322" cy="4245521"/>
                    </a:xfrm>
                    <a:prstGeom prst="rect">
                      <a:avLst/>
                    </a:prstGeom>
                    <a:noFill/>
                    <a:ln>
                      <a:noFill/>
                    </a:ln>
                  </pic:spPr>
                </pic:pic>
              </a:graphicData>
            </a:graphic>
          </wp:inline>
        </w:drawing>
      </w:r>
      <w:r w:rsidR="00C37E6A" w:rsidRPr="00E57331">
        <w:rPr>
          <w:sz w:val="20"/>
        </w:rPr>
        <w:t xml:space="preserve">Fonte: </w:t>
      </w:r>
      <w:hyperlink r:id="rId69" w:history="1">
        <w:r w:rsidR="00C37E6A" w:rsidRPr="00086D2E">
          <w:rPr>
            <w:rStyle w:val="Hyperlink"/>
            <w:sz w:val="20"/>
          </w:rPr>
          <w:t>https://turismo.taio.sc.gov.br/</w:t>
        </w:r>
      </w:hyperlink>
    </w:p>
    <w:sectPr w:rsidR="00462690" w:rsidRPr="00A957F9" w:rsidSect="00745EF9">
      <w:headerReference w:type="even" r:id="rId70"/>
      <w:headerReference w:type="default" r:id="rId71"/>
      <w:headerReference w:type="first" r:id="rId72"/>
      <w:pgSz w:w="11907" w:h="16840" w:code="9"/>
      <w:pgMar w:top="1560" w:right="1417"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60CE2" w14:textId="77777777" w:rsidR="00964E10" w:rsidRDefault="00964E10">
      <w:r>
        <w:separator/>
      </w:r>
    </w:p>
  </w:endnote>
  <w:endnote w:type="continuationSeparator" w:id="0">
    <w:p w14:paraId="023C3892" w14:textId="77777777" w:rsidR="00964E10" w:rsidRDefault="00964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F859A4D4-1CC5-4CD0-AEA7-ADEA37C7DC6A}"/>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2" w:fontKey="{F1554129-5F0E-48B7-A1EF-E107C1BAD3BD}"/>
    <w:embedItalic r:id="rId3" w:fontKey="{ED8F50E9-AA7D-408E-9C8D-98FCD99A44FC}"/>
  </w:font>
  <w:font w:name="Catamar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925FC" w14:textId="77777777" w:rsidR="00964E10" w:rsidRDefault="00964E10">
      <w:r>
        <w:separator/>
      </w:r>
    </w:p>
  </w:footnote>
  <w:footnote w:type="continuationSeparator" w:id="0">
    <w:p w14:paraId="67738599" w14:textId="77777777" w:rsidR="00964E10" w:rsidRDefault="00964E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4461E" w14:textId="77777777" w:rsidR="00DF47F4" w:rsidRDefault="00DF47F4" w:rsidP="00F8000B">
    <w:pPr>
      <w:framePr w:wrap="around" w:vAnchor="text" w:hAnchor="margin" w:xAlign="right" w:y="1"/>
    </w:pPr>
    <w:r>
      <w:fldChar w:fldCharType="begin"/>
    </w:r>
    <w:r>
      <w:instrText xml:space="preserve">PAGE  </w:instrText>
    </w:r>
    <w:r>
      <w:fldChar w:fldCharType="end"/>
    </w:r>
  </w:p>
  <w:p w14:paraId="3712AE16" w14:textId="77777777" w:rsidR="00DF47F4" w:rsidRDefault="00DF47F4" w:rsidP="00F8000B">
    <w:pP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1064778"/>
      <w:docPartObj>
        <w:docPartGallery w:val="Page Numbers (Top of Page)"/>
        <w:docPartUnique/>
      </w:docPartObj>
    </w:sdtPr>
    <w:sdtEndPr/>
    <w:sdtContent>
      <w:p w14:paraId="2FD10A3E" w14:textId="5D457AF1" w:rsidR="00DF47F4" w:rsidRDefault="00DF47F4">
        <w:pPr>
          <w:pStyle w:val="Cabealho"/>
          <w:jc w:val="right"/>
        </w:pPr>
        <w:r w:rsidRPr="00B8782F">
          <w:rPr>
            <w:sz w:val="20"/>
          </w:rPr>
          <w:fldChar w:fldCharType="begin"/>
        </w:r>
        <w:r w:rsidRPr="00B8782F">
          <w:rPr>
            <w:sz w:val="20"/>
          </w:rPr>
          <w:instrText>PAGE   \* MERGEFORMAT</w:instrText>
        </w:r>
        <w:r w:rsidRPr="00B8782F">
          <w:rPr>
            <w:sz w:val="20"/>
          </w:rPr>
          <w:fldChar w:fldCharType="separate"/>
        </w:r>
        <w:r w:rsidR="009013F1">
          <w:rPr>
            <w:noProof/>
            <w:sz w:val="20"/>
          </w:rPr>
          <w:t>3</w:t>
        </w:r>
        <w:r w:rsidRPr="00B8782F">
          <w:rPr>
            <w:sz w:val="20"/>
          </w:rPr>
          <w:fldChar w:fldCharType="end"/>
        </w:r>
      </w:p>
    </w:sdtContent>
  </w:sdt>
  <w:p w14:paraId="0182B296" w14:textId="77777777" w:rsidR="00DF47F4" w:rsidRDefault="00DF47F4" w:rsidP="00F8000B">
    <w:pPr>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619120"/>
      <w:docPartObj>
        <w:docPartGallery w:val="Page Numbers (Top of Page)"/>
        <w:docPartUnique/>
      </w:docPartObj>
    </w:sdtPr>
    <w:sdtEndPr/>
    <w:sdtContent>
      <w:p w14:paraId="29BAC1C3" w14:textId="2143157C" w:rsidR="00DF47F4" w:rsidRDefault="00DF47F4">
        <w:pPr>
          <w:pStyle w:val="Cabealho"/>
          <w:jc w:val="right"/>
        </w:pPr>
        <w:r>
          <w:fldChar w:fldCharType="begin"/>
        </w:r>
        <w:r>
          <w:instrText>PAGE   \* MERGEFORMAT</w:instrText>
        </w:r>
        <w:r>
          <w:fldChar w:fldCharType="separate"/>
        </w:r>
        <w:r w:rsidR="009013F1">
          <w:rPr>
            <w:noProof/>
          </w:rPr>
          <w:t>0</w:t>
        </w:r>
        <w:r>
          <w:fldChar w:fldCharType="end"/>
        </w:r>
      </w:p>
    </w:sdtContent>
  </w:sdt>
  <w:p w14:paraId="7CA81962" w14:textId="77777777" w:rsidR="00DF47F4" w:rsidRDefault="00DF47F4">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56E88"/>
    <w:multiLevelType w:val="hybridMultilevel"/>
    <w:tmpl w:val="93745798"/>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1" w15:restartNumberingAfterBreak="0">
    <w:nsid w:val="1D632714"/>
    <w:multiLevelType w:val="hybridMultilevel"/>
    <w:tmpl w:val="6E74F0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62D47AC"/>
    <w:multiLevelType w:val="hybridMultilevel"/>
    <w:tmpl w:val="055048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BC561FC"/>
    <w:multiLevelType w:val="hybridMultilevel"/>
    <w:tmpl w:val="AE404C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4EE"/>
    <w:rsid w:val="00002AAD"/>
    <w:rsid w:val="00003DEC"/>
    <w:rsid w:val="000122E6"/>
    <w:rsid w:val="00012732"/>
    <w:rsid w:val="0003035B"/>
    <w:rsid w:val="0004261B"/>
    <w:rsid w:val="00045D28"/>
    <w:rsid w:val="0005301D"/>
    <w:rsid w:val="000544F7"/>
    <w:rsid w:val="00055FA1"/>
    <w:rsid w:val="000612CB"/>
    <w:rsid w:val="000615C5"/>
    <w:rsid w:val="00065477"/>
    <w:rsid w:val="000666EA"/>
    <w:rsid w:val="00067E29"/>
    <w:rsid w:val="00075561"/>
    <w:rsid w:val="00077E98"/>
    <w:rsid w:val="00083269"/>
    <w:rsid w:val="00083F9C"/>
    <w:rsid w:val="0008516D"/>
    <w:rsid w:val="00094510"/>
    <w:rsid w:val="00096500"/>
    <w:rsid w:val="00096569"/>
    <w:rsid w:val="0009682B"/>
    <w:rsid w:val="00097601"/>
    <w:rsid w:val="000A11F2"/>
    <w:rsid w:val="000A39F9"/>
    <w:rsid w:val="000A73E1"/>
    <w:rsid w:val="000A7438"/>
    <w:rsid w:val="000B2F31"/>
    <w:rsid w:val="000C6A8C"/>
    <w:rsid w:val="000D5D48"/>
    <w:rsid w:val="000E26E3"/>
    <w:rsid w:val="000E6F35"/>
    <w:rsid w:val="000F1547"/>
    <w:rsid w:val="000F7B30"/>
    <w:rsid w:val="00100179"/>
    <w:rsid w:val="00101427"/>
    <w:rsid w:val="00101AE8"/>
    <w:rsid w:val="00103277"/>
    <w:rsid w:val="001242EB"/>
    <w:rsid w:val="00125321"/>
    <w:rsid w:val="0012737F"/>
    <w:rsid w:val="00130FD6"/>
    <w:rsid w:val="00135AD7"/>
    <w:rsid w:val="001366D3"/>
    <w:rsid w:val="00137F9A"/>
    <w:rsid w:val="001460E7"/>
    <w:rsid w:val="001506D2"/>
    <w:rsid w:val="001526A7"/>
    <w:rsid w:val="001569F6"/>
    <w:rsid w:val="00156B9D"/>
    <w:rsid w:val="00157585"/>
    <w:rsid w:val="00160C4B"/>
    <w:rsid w:val="00160C61"/>
    <w:rsid w:val="00162D83"/>
    <w:rsid w:val="00163885"/>
    <w:rsid w:val="00165741"/>
    <w:rsid w:val="00166214"/>
    <w:rsid w:val="00166AFB"/>
    <w:rsid w:val="00171084"/>
    <w:rsid w:val="00172036"/>
    <w:rsid w:val="00180AA8"/>
    <w:rsid w:val="001837AF"/>
    <w:rsid w:val="00186136"/>
    <w:rsid w:val="00186AA7"/>
    <w:rsid w:val="0018742D"/>
    <w:rsid w:val="00191385"/>
    <w:rsid w:val="001A7948"/>
    <w:rsid w:val="001B2950"/>
    <w:rsid w:val="001B341A"/>
    <w:rsid w:val="001B3AC8"/>
    <w:rsid w:val="001B5294"/>
    <w:rsid w:val="001B60D4"/>
    <w:rsid w:val="001C0047"/>
    <w:rsid w:val="001C17DB"/>
    <w:rsid w:val="001C33A8"/>
    <w:rsid w:val="001C6C06"/>
    <w:rsid w:val="001D01CE"/>
    <w:rsid w:val="001D4777"/>
    <w:rsid w:val="001D6050"/>
    <w:rsid w:val="001E0F72"/>
    <w:rsid w:val="001E1FE3"/>
    <w:rsid w:val="001E5162"/>
    <w:rsid w:val="001F0197"/>
    <w:rsid w:val="001F28C8"/>
    <w:rsid w:val="001F524A"/>
    <w:rsid w:val="001F5DA4"/>
    <w:rsid w:val="0020363A"/>
    <w:rsid w:val="00206B74"/>
    <w:rsid w:val="002073B3"/>
    <w:rsid w:val="0021333A"/>
    <w:rsid w:val="00213346"/>
    <w:rsid w:val="00213B0F"/>
    <w:rsid w:val="00214CE7"/>
    <w:rsid w:val="0021509B"/>
    <w:rsid w:val="002172CA"/>
    <w:rsid w:val="00225260"/>
    <w:rsid w:val="00226FD5"/>
    <w:rsid w:val="00227001"/>
    <w:rsid w:val="00247844"/>
    <w:rsid w:val="002565D2"/>
    <w:rsid w:val="00264510"/>
    <w:rsid w:val="0027018F"/>
    <w:rsid w:val="00273369"/>
    <w:rsid w:val="002776CC"/>
    <w:rsid w:val="00283BDD"/>
    <w:rsid w:val="0028465A"/>
    <w:rsid w:val="00293E95"/>
    <w:rsid w:val="00294DCD"/>
    <w:rsid w:val="00297333"/>
    <w:rsid w:val="002B0694"/>
    <w:rsid w:val="002B42A9"/>
    <w:rsid w:val="002B62F3"/>
    <w:rsid w:val="002C0019"/>
    <w:rsid w:val="002C628D"/>
    <w:rsid w:val="002D0701"/>
    <w:rsid w:val="002D39B6"/>
    <w:rsid w:val="002E177E"/>
    <w:rsid w:val="002E5ADF"/>
    <w:rsid w:val="002E6A13"/>
    <w:rsid w:val="002F069A"/>
    <w:rsid w:val="002F22FB"/>
    <w:rsid w:val="003000B4"/>
    <w:rsid w:val="00313299"/>
    <w:rsid w:val="0031337A"/>
    <w:rsid w:val="00314102"/>
    <w:rsid w:val="00315025"/>
    <w:rsid w:val="003211CA"/>
    <w:rsid w:val="00323503"/>
    <w:rsid w:val="00330A23"/>
    <w:rsid w:val="00334936"/>
    <w:rsid w:val="003358B0"/>
    <w:rsid w:val="00336F6D"/>
    <w:rsid w:val="00341652"/>
    <w:rsid w:val="00343300"/>
    <w:rsid w:val="00343D22"/>
    <w:rsid w:val="00344DFD"/>
    <w:rsid w:val="00345FC6"/>
    <w:rsid w:val="00347519"/>
    <w:rsid w:val="00350018"/>
    <w:rsid w:val="003540C7"/>
    <w:rsid w:val="00361A0A"/>
    <w:rsid w:val="003629B7"/>
    <w:rsid w:val="00373486"/>
    <w:rsid w:val="0037482F"/>
    <w:rsid w:val="003753CE"/>
    <w:rsid w:val="003855E8"/>
    <w:rsid w:val="00385EE6"/>
    <w:rsid w:val="0038682B"/>
    <w:rsid w:val="003878E8"/>
    <w:rsid w:val="00387FF8"/>
    <w:rsid w:val="003937B7"/>
    <w:rsid w:val="0039436E"/>
    <w:rsid w:val="00395AC0"/>
    <w:rsid w:val="00396979"/>
    <w:rsid w:val="00396A24"/>
    <w:rsid w:val="003A0B51"/>
    <w:rsid w:val="003A3A81"/>
    <w:rsid w:val="003A51E8"/>
    <w:rsid w:val="003C0DAE"/>
    <w:rsid w:val="003C3CF9"/>
    <w:rsid w:val="003C4FBB"/>
    <w:rsid w:val="003C6000"/>
    <w:rsid w:val="003D3E99"/>
    <w:rsid w:val="003D6266"/>
    <w:rsid w:val="003E0184"/>
    <w:rsid w:val="003E317D"/>
    <w:rsid w:val="003E631E"/>
    <w:rsid w:val="003F2D7E"/>
    <w:rsid w:val="003F365E"/>
    <w:rsid w:val="003F488A"/>
    <w:rsid w:val="003F5333"/>
    <w:rsid w:val="003F5388"/>
    <w:rsid w:val="003F7DDA"/>
    <w:rsid w:val="004005B6"/>
    <w:rsid w:val="00400DD6"/>
    <w:rsid w:val="00401737"/>
    <w:rsid w:val="00402E38"/>
    <w:rsid w:val="00403167"/>
    <w:rsid w:val="00405A13"/>
    <w:rsid w:val="00411BBF"/>
    <w:rsid w:val="00413F81"/>
    <w:rsid w:val="004165B6"/>
    <w:rsid w:val="00425FE5"/>
    <w:rsid w:val="0043144E"/>
    <w:rsid w:val="00434A74"/>
    <w:rsid w:val="00434F20"/>
    <w:rsid w:val="004365DA"/>
    <w:rsid w:val="00440BF2"/>
    <w:rsid w:val="00441F47"/>
    <w:rsid w:val="004432FA"/>
    <w:rsid w:val="00447DBE"/>
    <w:rsid w:val="00451698"/>
    <w:rsid w:val="0045533C"/>
    <w:rsid w:val="00455DA1"/>
    <w:rsid w:val="00456DCC"/>
    <w:rsid w:val="004572FB"/>
    <w:rsid w:val="004574A6"/>
    <w:rsid w:val="00460365"/>
    <w:rsid w:val="00460C41"/>
    <w:rsid w:val="00462109"/>
    <w:rsid w:val="00462690"/>
    <w:rsid w:val="00475F5D"/>
    <w:rsid w:val="004806C7"/>
    <w:rsid w:val="00481182"/>
    <w:rsid w:val="00497E3C"/>
    <w:rsid w:val="004A1FBB"/>
    <w:rsid w:val="004A6704"/>
    <w:rsid w:val="004B4D3F"/>
    <w:rsid w:val="004C4345"/>
    <w:rsid w:val="004C756E"/>
    <w:rsid w:val="004D09A6"/>
    <w:rsid w:val="004D6709"/>
    <w:rsid w:val="004D7734"/>
    <w:rsid w:val="004E0FB2"/>
    <w:rsid w:val="004E44B9"/>
    <w:rsid w:val="004E5221"/>
    <w:rsid w:val="004E5A9C"/>
    <w:rsid w:val="004E5FEC"/>
    <w:rsid w:val="004E680B"/>
    <w:rsid w:val="004F2C0C"/>
    <w:rsid w:val="004F5C7C"/>
    <w:rsid w:val="004F7596"/>
    <w:rsid w:val="00503F0E"/>
    <w:rsid w:val="005128C4"/>
    <w:rsid w:val="00512AD7"/>
    <w:rsid w:val="00514B92"/>
    <w:rsid w:val="0051727F"/>
    <w:rsid w:val="00522F28"/>
    <w:rsid w:val="005267C2"/>
    <w:rsid w:val="0053096C"/>
    <w:rsid w:val="00531121"/>
    <w:rsid w:val="00533D30"/>
    <w:rsid w:val="0053459E"/>
    <w:rsid w:val="00541549"/>
    <w:rsid w:val="00543720"/>
    <w:rsid w:val="00550AEE"/>
    <w:rsid w:val="0056534E"/>
    <w:rsid w:val="00566CC8"/>
    <w:rsid w:val="0057458E"/>
    <w:rsid w:val="00576464"/>
    <w:rsid w:val="00577961"/>
    <w:rsid w:val="00581EE5"/>
    <w:rsid w:val="00584D3C"/>
    <w:rsid w:val="005962FB"/>
    <w:rsid w:val="005A4BD0"/>
    <w:rsid w:val="005B1564"/>
    <w:rsid w:val="005B422F"/>
    <w:rsid w:val="005B5F12"/>
    <w:rsid w:val="005B69A6"/>
    <w:rsid w:val="005C033E"/>
    <w:rsid w:val="005C1965"/>
    <w:rsid w:val="005C5A0F"/>
    <w:rsid w:val="005C60EB"/>
    <w:rsid w:val="005D207C"/>
    <w:rsid w:val="005D2F9E"/>
    <w:rsid w:val="005E0418"/>
    <w:rsid w:val="005E10FA"/>
    <w:rsid w:val="005E4BA7"/>
    <w:rsid w:val="005E5B77"/>
    <w:rsid w:val="005E5EA6"/>
    <w:rsid w:val="005F42CC"/>
    <w:rsid w:val="005F768C"/>
    <w:rsid w:val="00615E76"/>
    <w:rsid w:val="00617B2B"/>
    <w:rsid w:val="00617D92"/>
    <w:rsid w:val="0062394E"/>
    <w:rsid w:val="006253A2"/>
    <w:rsid w:val="00626708"/>
    <w:rsid w:val="00626D8A"/>
    <w:rsid w:val="00626E5C"/>
    <w:rsid w:val="006362E8"/>
    <w:rsid w:val="00637C38"/>
    <w:rsid w:val="00642091"/>
    <w:rsid w:val="00646E56"/>
    <w:rsid w:val="00652BB5"/>
    <w:rsid w:val="006544D9"/>
    <w:rsid w:val="00654555"/>
    <w:rsid w:val="00654C6C"/>
    <w:rsid w:val="00655E11"/>
    <w:rsid w:val="00672CB9"/>
    <w:rsid w:val="006753E4"/>
    <w:rsid w:val="006808B4"/>
    <w:rsid w:val="00682BF5"/>
    <w:rsid w:val="006841CB"/>
    <w:rsid w:val="00686E33"/>
    <w:rsid w:val="00692385"/>
    <w:rsid w:val="00695AEE"/>
    <w:rsid w:val="006B2E2F"/>
    <w:rsid w:val="006B4F46"/>
    <w:rsid w:val="006B5E8F"/>
    <w:rsid w:val="006B7822"/>
    <w:rsid w:val="006C1BD8"/>
    <w:rsid w:val="006D0403"/>
    <w:rsid w:val="006D0C87"/>
    <w:rsid w:val="006D57F8"/>
    <w:rsid w:val="006E016E"/>
    <w:rsid w:val="006E16DA"/>
    <w:rsid w:val="006E2E51"/>
    <w:rsid w:val="006E3056"/>
    <w:rsid w:val="006E3776"/>
    <w:rsid w:val="006E478C"/>
    <w:rsid w:val="006E5406"/>
    <w:rsid w:val="006E5D9B"/>
    <w:rsid w:val="006F63A4"/>
    <w:rsid w:val="007017CC"/>
    <w:rsid w:val="00703F3E"/>
    <w:rsid w:val="00704715"/>
    <w:rsid w:val="007141B9"/>
    <w:rsid w:val="00714D80"/>
    <w:rsid w:val="0071551D"/>
    <w:rsid w:val="00715B94"/>
    <w:rsid w:val="007209A1"/>
    <w:rsid w:val="007215C8"/>
    <w:rsid w:val="00722FAF"/>
    <w:rsid w:val="00723D4F"/>
    <w:rsid w:val="00725279"/>
    <w:rsid w:val="0073036F"/>
    <w:rsid w:val="00735A7A"/>
    <w:rsid w:val="007371CB"/>
    <w:rsid w:val="00741086"/>
    <w:rsid w:val="00745EF9"/>
    <w:rsid w:val="00746057"/>
    <w:rsid w:val="007466E5"/>
    <w:rsid w:val="00746863"/>
    <w:rsid w:val="007476D3"/>
    <w:rsid w:val="007476DD"/>
    <w:rsid w:val="00755160"/>
    <w:rsid w:val="0076050D"/>
    <w:rsid w:val="0076058A"/>
    <w:rsid w:val="00762552"/>
    <w:rsid w:val="00766B06"/>
    <w:rsid w:val="0076725E"/>
    <w:rsid w:val="00771A1D"/>
    <w:rsid w:val="00775A65"/>
    <w:rsid w:val="007766F4"/>
    <w:rsid w:val="00776D33"/>
    <w:rsid w:val="00781A9E"/>
    <w:rsid w:val="00782B4C"/>
    <w:rsid w:val="00783A49"/>
    <w:rsid w:val="00783CCD"/>
    <w:rsid w:val="00786C7B"/>
    <w:rsid w:val="00793296"/>
    <w:rsid w:val="00795DDB"/>
    <w:rsid w:val="007A083E"/>
    <w:rsid w:val="007A12EA"/>
    <w:rsid w:val="007B3779"/>
    <w:rsid w:val="007B5697"/>
    <w:rsid w:val="007B74C6"/>
    <w:rsid w:val="007C0937"/>
    <w:rsid w:val="007C575A"/>
    <w:rsid w:val="007D2A4C"/>
    <w:rsid w:val="007E0465"/>
    <w:rsid w:val="007E1579"/>
    <w:rsid w:val="007E4250"/>
    <w:rsid w:val="007F00D7"/>
    <w:rsid w:val="007F2776"/>
    <w:rsid w:val="007F4FB0"/>
    <w:rsid w:val="007F5BD8"/>
    <w:rsid w:val="00804D39"/>
    <w:rsid w:val="00806D9B"/>
    <w:rsid w:val="0081144E"/>
    <w:rsid w:val="00817910"/>
    <w:rsid w:val="00824748"/>
    <w:rsid w:val="00825EE4"/>
    <w:rsid w:val="0083019C"/>
    <w:rsid w:val="008346F8"/>
    <w:rsid w:val="00835566"/>
    <w:rsid w:val="00837E78"/>
    <w:rsid w:val="008426BC"/>
    <w:rsid w:val="00853EF2"/>
    <w:rsid w:val="00861476"/>
    <w:rsid w:val="008646AA"/>
    <w:rsid w:val="008673C2"/>
    <w:rsid w:val="0087573A"/>
    <w:rsid w:val="00875BAB"/>
    <w:rsid w:val="0088157D"/>
    <w:rsid w:val="008815DF"/>
    <w:rsid w:val="00882ED4"/>
    <w:rsid w:val="0088477C"/>
    <w:rsid w:val="008864DF"/>
    <w:rsid w:val="008935A1"/>
    <w:rsid w:val="00893BCF"/>
    <w:rsid w:val="00894134"/>
    <w:rsid w:val="008A232D"/>
    <w:rsid w:val="008A329C"/>
    <w:rsid w:val="008A5B95"/>
    <w:rsid w:val="008B03FD"/>
    <w:rsid w:val="008B3046"/>
    <w:rsid w:val="008B4B9C"/>
    <w:rsid w:val="008B7363"/>
    <w:rsid w:val="008C33A8"/>
    <w:rsid w:val="008C4AB3"/>
    <w:rsid w:val="008C4DBF"/>
    <w:rsid w:val="008C63A2"/>
    <w:rsid w:val="008E04FC"/>
    <w:rsid w:val="008E3E52"/>
    <w:rsid w:val="008E74EE"/>
    <w:rsid w:val="008F793D"/>
    <w:rsid w:val="008F7EA8"/>
    <w:rsid w:val="009013F1"/>
    <w:rsid w:val="00902EFB"/>
    <w:rsid w:val="0090519D"/>
    <w:rsid w:val="0090608F"/>
    <w:rsid w:val="00914E8F"/>
    <w:rsid w:val="00916ED5"/>
    <w:rsid w:val="00920FAB"/>
    <w:rsid w:val="00936D6E"/>
    <w:rsid w:val="00940B64"/>
    <w:rsid w:val="00940D85"/>
    <w:rsid w:val="00944C47"/>
    <w:rsid w:val="00944E08"/>
    <w:rsid w:val="00956272"/>
    <w:rsid w:val="00964910"/>
    <w:rsid w:val="00964922"/>
    <w:rsid w:val="00964E10"/>
    <w:rsid w:val="009654F4"/>
    <w:rsid w:val="009718CD"/>
    <w:rsid w:val="0097440C"/>
    <w:rsid w:val="00983749"/>
    <w:rsid w:val="00984537"/>
    <w:rsid w:val="00984755"/>
    <w:rsid w:val="009868D1"/>
    <w:rsid w:val="00991700"/>
    <w:rsid w:val="00991799"/>
    <w:rsid w:val="009C3F7F"/>
    <w:rsid w:val="009C6880"/>
    <w:rsid w:val="009C78E1"/>
    <w:rsid w:val="009D1C31"/>
    <w:rsid w:val="009D32E1"/>
    <w:rsid w:val="009D3C62"/>
    <w:rsid w:val="009D5D54"/>
    <w:rsid w:val="009E2E16"/>
    <w:rsid w:val="009E3F1D"/>
    <w:rsid w:val="009E41DF"/>
    <w:rsid w:val="009E51F4"/>
    <w:rsid w:val="009F26C0"/>
    <w:rsid w:val="009F362D"/>
    <w:rsid w:val="009F49D8"/>
    <w:rsid w:val="00A00672"/>
    <w:rsid w:val="00A02BAB"/>
    <w:rsid w:val="00A03C86"/>
    <w:rsid w:val="00A04AA1"/>
    <w:rsid w:val="00A07934"/>
    <w:rsid w:val="00A137EC"/>
    <w:rsid w:val="00A13B67"/>
    <w:rsid w:val="00A14DFA"/>
    <w:rsid w:val="00A16A01"/>
    <w:rsid w:val="00A20485"/>
    <w:rsid w:val="00A20D16"/>
    <w:rsid w:val="00A267BF"/>
    <w:rsid w:val="00A27534"/>
    <w:rsid w:val="00A27C3F"/>
    <w:rsid w:val="00A27FCC"/>
    <w:rsid w:val="00A36DFA"/>
    <w:rsid w:val="00A3775E"/>
    <w:rsid w:val="00A44DEC"/>
    <w:rsid w:val="00A45F7E"/>
    <w:rsid w:val="00A504DB"/>
    <w:rsid w:val="00A60D51"/>
    <w:rsid w:val="00A63129"/>
    <w:rsid w:val="00A7222A"/>
    <w:rsid w:val="00A72A6B"/>
    <w:rsid w:val="00A81115"/>
    <w:rsid w:val="00A81AE1"/>
    <w:rsid w:val="00A848CA"/>
    <w:rsid w:val="00A9157E"/>
    <w:rsid w:val="00A94640"/>
    <w:rsid w:val="00A94DB2"/>
    <w:rsid w:val="00A957F9"/>
    <w:rsid w:val="00A96CA7"/>
    <w:rsid w:val="00A96D00"/>
    <w:rsid w:val="00A9722A"/>
    <w:rsid w:val="00AA10EA"/>
    <w:rsid w:val="00AA3281"/>
    <w:rsid w:val="00AB07E2"/>
    <w:rsid w:val="00AB11DA"/>
    <w:rsid w:val="00AB3634"/>
    <w:rsid w:val="00AB7ED0"/>
    <w:rsid w:val="00AC60E9"/>
    <w:rsid w:val="00AC7C82"/>
    <w:rsid w:val="00AC7D1F"/>
    <w:rsid w:val="00AD0C0E"/>
    <w:rsid w:val="00AD136A"/>
    <w:rsid w:val="00AD2B44"/>
    <w:rsid w:val="00AD7562"/>
    <w:rsid w:val="00AE357A"/>
    <w:rsid w:val="00AE6B47"/>
    <w:rsid w:val="00AF050D"/>
    <w:rsid w:val="00AF3FD0"/>
    <w:rsid w:val="00AF4746"/>
    <w:rsid w:val="00AF588D"/>
    <w:rsid w:val="00AF6931"/>
    <w:rsid w:val="00AF6FFA"/>
    <w:rsid w:val="00AF7101"/>
    <w:rsid w:val="00B002B8"/>
    <w:rsid w:val="00B03EEA"/>
    <w:rsid w:val="00B10BD0"/>
    <w:rsid w:val="00B111E8"/>
    <w:rsid w:val="00B12A83"/>
    <w:rsid w:val="00B12D73"/>
    <w:rsid w:val="00B17273"/>
    <w:rsid w:val="00B23017"/>
    <w:rsid w:val="00B24E79"/>
    <w:rsid w:val="00B2550F"/>
    <w:rsid w:val="00B30A88"/>
    <w:rsid w:val="00B30E03"/>
    <w:rsid w:val="00B32C27"/>
    <w:rsid w:val="00B352E9"/>
    <w:rsid w:val="00B35BAD"/>
    <w:rsid w:val="00B41695"/>
    <w:rsid w:val="00B50DA6"/>
    <w:rsid w:val="00B54CA5"/>
    <w:rsid w:val="00B55FBE"/>
    <w:rsid w:val="00B56124"/>
    <w:rsid w:val="00B6246B"/>
    <w:rsid w:val="00B64CBE"/>
    <w:rsid w:val="00B7162B"/>
    <w:rsid w:val="00B74C1C"/>
    <w:rsid w:val="00B76BE2"/>
    <w:rsid w:val="00B80A5B"/>
    <w:rsid w:val="00B824C7"/>
    <w:rsid w:val="00B84860"/>
    <w:rsid w:val="00B8782F"/>
    <w:rsid w:val="00B92443"/>
    <w:rsid w:val="00B938DF"/>
    <w:rsid w:val="00B94392"/>
    <w:rsid w:val="00B976CC"/>
    <w:rsid w:val="00BA4517"/>
    <w:rsid w:val="00BB73CE"/>
    <w:rsid w:val="00BC6177"/>
    <w:rsid w:val="00BD0EEC"/>
    <w:rsid w:val="00BD5D06"/>
    <w:rsid w:val="00BD73BB"/>
    <w:rsid w:val="00BE214D"/>
    <w:rsid w:val="00BE33AB"/>
    <w:rsid w:val="00BE4DF8"/>
    <w:rsid w:val="00BE4F59"/>
    <w:rsid w:val="00BE6037"/>
    <w:rsid w:val="00BE7321"/>
    <w:rsid w:val="00BF3C04"/>
    <w:rsid w:val="00BF4D68"/>
    <w:rsid w:val="00BF4EE9"/>
    <w:rsid w:val="00BF710A"/>
    <w:rsid w:val="00BF73D3"/>
    <w:rsid w:val="00BF76E5"/>
    <w:rsid w:val="00C011F1"/>
    <w:rsid w:val="00C04996"/>
    <w:rsid w:val="00C0615F"/>
    <w:rsid w:val="00C21ED9"/>
    <w:rsid w:val="00C2472F"/>
    <w:rsid w:val="00C3130A"/>
    <w:rsid w:val="00C33869"/>
    <w:rsid w:val="00C37E6A"/>
    <w:rsid w:val="00C4181C"/>
    <w:rsid w:val="00C42D0B"/>
    <w:rsid w:val="00C5088B"/>
    <w:rsid w:val="00C51428"/>
    <w:rsid w:val="00C55881"/>
    <w:rsid w:val="00C55A91"/>
    <w:rsid w:val="00C576C5"/>
    <w:rsid w:val="00C600C3"/>
    <w:rsid w:val="00C624C8"/>
    <w:rsid w:val="00C7063D"/>
    <w:rsid w:val="00C71328"/>
    <w:rsid w:val="00C737FD"/>
    <w:rsid w:val="00C75B02"/>
    <w:rsid w:val="00C75F42"/>
    <w:rsid w:val="00C779CB"/>
    <w:rsid w:val="00C82436"/>
    <w:rsid w:val="00C8633B"/>
    <w:rsid w:val="00C90AFC"/>
    <w:rsid w:val="00C92B06"/>
    <w:rsid w:val="00C9407D"/>
    <w:rsid w:val="00CA0D73"/>
    <w:rsid w:val="00CA1B3B"/>
    <w:rsid w:val="00CA2321"/>
    <w:rsid w:val="00CA30D3"/>
    <w:rsid w:val="00CB1424"/>
    <w:rsid w:val="00CB1E84"/>
    <w:rsid w:val="00CB3A6F"/>
    <w:rsid w:val="00CB3C25"/>
    <w:rsid w:val="00CB3EF6"/>
    <w:rsid w:val="00CB606B"/>
    <w:rsid w:val="00CB7CBC"/>
    <w:rsid w:val="00CC7B42"/>
    <w:rsid w:val="00CD43AC"/>
    <w:rsid w:val="00CD7D20"/>
    <w:rsid w:val="00CE0DD1"/>
    <w:rsid w:val="00CE5F9C"/>
    <w:rsid w:val="00CF0C64"/>
    <w:rsid w:val="00CF34A4"/>
    <w:rsid w:val="00CF42CE"/>
    <w:rsid w:val="00D050B9"/>
    <w:rsid w:val="00D054BB"/>
    <w:rsid w:val="00D12647"/>
    <w:rsid w:val="00D12C42"/>
    <w:rsid w:val="00D14414"/>
    <w:rsid w:val="00D14DF0"/>
    <w:rsid w:val="00D14FEE"/>
    <w:rsid w:val="00D159E8"/>
    <w:rsid w:val="00D2289C"/>
    <w:rsid w:val="00D24BEB"/>
    <w:rsid w:val="00D35B8D"/>
    <w:rsid w:val="00D41882"/>
    <w:rsid w:val="00D4395F"/>
    <w:rsid w:val="00D444A7"/>
    <w:rsid w:val="00D46911"/>
    <w:rsid w:val="00D530C1"/>
    <w:rsid w:val="00D70856"/>
    <w:rsid w:val="00D708A4"/>
    <w:rsid w:val="00D72657"/>
    <w:rsid w:val="00D734F2"/>
    <w:rsid w:val="00D73ACE"/>
    <w:rsid w:val="00D745E0"/>
    <w:rsid w:val="00D77D1C"/>
    <w:rsid w:val="00D8019D"/>
    <w:rsid w:val="00D82237"/>
    <w:rsid w:val="00D84D8F"/>
    <w:rsid w:val="00D85588"/>
    <w:rsid w:val="00D855EC"/>
    <w:rsid w:val="00D867F1"/>
    <w:rsid w:val="00D915AF"/>
    <w:rsid w:val="00D92066"/>
    <w:rsid w:val="00D95EE2"/>
    <w:rsid w:val="00D975C1"/>
    <w:rsid w:val="00DA2636"/>
    <w:rsid w:val="00DB072D"/>
    <w:rsid w:val="00DB2E5B"/>
    <w:rsid w:val="00DC3E8B"/>
    <w:rsid w:val="00DC44A1"/>
    <w:rsid w:val="00DD2F04"/>
    <w:rsid w:val="00DD3C99"/>
    <w:rsid w:val="00DE14E4"/>
    <w:rsid w:val="00DE1863"/>
    <w:rsid w:val="00DF47F4"/>
    <w:rsid w:val="00DF5D95"/>
    <w:rsid w:val="00DF7B2C"/>
    <w:rsid w:val="00E0526E"/>
    <w:rsid w:val="00E1031A"/>
    <w:rsid w:val="00E1257D"/>
    <w:rsid w:val="00E1351B"/>
    <w:rsid w:val="00E15ECF"/>
    <w:rsid w:val="00E2018E"/>
    <w:rsid w:val="00E24136"/>
    <w:rsid w:val="00E323F7"/>
    <w:rsid w:val="00E34CD3"/>
    <w:rsid w:val="00E373FA"/>
    <w:rsid w:val="00E45EE4"/>
    <w:rsid w:val="00E50A19"/>
    <w:rsid w:val="00E527E0"/>
    <w:rsid w:val="00E52ED6"/>
    <w:rsid w:val="00E537C1"/>
    <w:rsid w:val="00E550C2"/>
    <w:rsid w:val="00E57331"/>
    <w:rsid w:val="00E61E60"/>
    <w:rsid w:val="00E63367"/>
    <w:rsid w:val="00E6495C"/>
    <w:rsid w:val="00E67D5E"/>
    <w:rsid w:val="00E704AE"/>
    <w:rsid w:val="00E7400A"/>
    <w:rsid w:val="00E7476E"/>
    <w:rsid w:val="00E7764C"/>
    <w:rsid w:val="00E77894"/>
    <w:rsid w:val="00E804A3"/>
    <w:rsid w:val="00E87D6A"/>
    <w:rsid w:val="00E937E2"/>
    <w:rsid w:val="00E973C1"/>
    <w:rsid w:val="00EA177B"/>
    <w:rsid w:val="00EA1CA5"/>
    <w:rsid w:val="00EA3C34"/>
    <w:rsid w:val="00EA6051"/>
    <w:rsid w:val="00EA6C67"/>
    <w:rsid w:val="00EB01AD"/>
    <w:rsid w:val="00EB4101"/>
    <w:rsid w:val="00EB47BC"/>
    <w:rsid w:val="00EB4942"/>
    <w:rsid w:val="00EB579E"/>
    <w:rsid w:val="00EB65FB"/>
    <w:rsid w:val="00EC21B7"/>
    <w:rsid w:val="00EC5433"/>
    <w:rsid w:val="00ED7294"/>
    <w:rsid w:val="00EE2A19"/>
    <w:rsid w:val="00EE415F"/>
    <w:rsid w:val="00EE4983"/>
    <w:rsid w:val="00EE51EE"/>
    <w:rsid w:val="00EE6B5A"/>
    <w:rsid w:val="00EF0D90"/>
    <w:rsid w:val="00EF36F1"/>
    <w:rsid w:val="00EF3BA4"/>
    <w:rsid w:val="00EF6779"/>
    <w:rsid w:val="00EF7EF3"/>
    <w:rsid w:val="00F03AC1"/>
    <w:rsid w:val="00F04996"/>
    <w:rsid w:val="00F05863"/>
    <w:rsid w:val="00F06C8C"/>
    <w:rsid w:val="00F12B70"/>
    <w:rsid w:val="00F1592F"/>
    <w:rsid w:val="00F16FF7"/>
    <w:rsid w:val="00F174EE"/>
    <w:rsid w:val="00F20CE3"/>
    <w:rsid w:val="00F21050"/>
    <w:rsid w:val="00F248EC"/>
    <w:rsid w:val="00F324E4"/>
    <w:rsid w:val="00F366B6"/>
    <w:rsid w:val="00F43F99"/>
    <w:rsid w:val="00F4438A"/>
    <w:rsid w:val="00F4530A"/>
    <w:rsid w:val="00F462D9"/>
    <w:rsid w:val="00F47837"/>
    <w:rsid w:val="00F47AC0"/>
    <w:rsid w:val="00F51C9A"/>
    <w:rsid w:val="00F52174"/>
    <w:rsid w:val="00F56392"/>
    <w:rsid w:val="00F70B08"/>
    <w:rsid w:val="00F72428"/>
    <w:rsid w:val="00F742F9"/>
    <w:rsid w:val="00F8000B"/>
    <w:rsid w:val="00F825EE"/>
    <w:rsid w:val="00F843FF"/>
    <w:rsid w:val="00F85061"/>
    <w:rsid w:val="00F91F86"/>
    <w:rsid w:val="00F92383"/>
    <w:rsid w:val="00F9319C"/>
    <w:rsid w:val="00F9462F"/>
    <w:rsid w:val="00F946F8"/>
    <w:rsid w:val="00FA2C19"/>
    <w:rsid w:val="00FA2F35"/>
    <w:rsid w:val="00FB2BBA"/>
    <w:rsid w:val="00FB3462"/>
    <w:rsid w:val="00FB5F22"/>
    <w:rsid w:val="00FC076C"/>
    <w:rsid w:val="00FC0EAA"/>
    <w:rsid w:val="00FC0EFD"/>
    <w:rsid w:val="00FC52C2"/>
    <w:rsid w:val="00FC73E7"/>
    <w:rsid w:val="00FE1583"/>
    <w:rsid w:val="00FE28BB"/>
    <w:rsid w:val="00FE5379"/>
    <w:rsid w:val="00FF3D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28F6C"/>
  <w15:chartTrackingRefBased/>
  <w15:docId w15:val="{31DD2BFF-5BBD-463F-82F5-8428A0DD2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4EE"/>
    <w:pPr>
      <w:spacing w:after="0" w:line="240" w:lineRule="auto"/>
    </w:pPr>
    <w:rPr>
      <w:rFonts w:ascii="Times New Roman" w:eastAsia="SimSun" w:hAnsi="Times New Roman" w:cs="Times New Roman"/>
      <w:sz w:val="24"/>
      <w:szCs w:val="24"/>
      <w:lang w:eastAsia="zh-CN"/>
    </w:rPr>
  </w:style>
  <w:style w:type="paragraph" w:styleId="Ttulo3">
    <w:name w:val="heading 3"/>
    <w:basedOn w:val="Normal"/>
    <w:link w:val="Ttulo3Char"/>
    <w:uiPriority w:val="9"/>
    <w:qFormat/>
    <w:rsid w:val="000612CB"/>
    <w:pPr>
      <w:spacing w:before="100" w:beforeAutospacing="1" w:after="100" w:afterAutospacing="1"/>
      <w:outlineLvl w:val="2"/>
    </w:pPr>
    <w:rPr>
      <w:rFonts w:eastAsia="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UNIDAVISEOPRIMRIA">
    <w:name w:val="UNIDAVI SEÇÃO PRIMÁRIA"/>
    <w:basedOn w:val="Normal"/>
    <w:rsid w:val="00F174EE"/>
    <w:rPr>
      <w:b/>
      <w:caps/>
      <w:lang w:val="en-US"/>
    </w:rPr>
  </w:style>
  <w:style w:type="paragraph" w:customStyle="1" w:styleId="UNIDAVISEOSECUNDARIA">
    <w:name w:val="UNIDAVI SEÇÃO SECUNDARIA"/>
    <w:basedOn w:val="Normal"/>
    <w:rsid w:val="00F174EE"/>
    <w:rPr>
      <w:caps/>
      <w:lang w:val="en-US"/>
    </w:rPr>
  </w:style>
  <w:style w:type="character" w:customStyle="1" w:styleId="UnidaviTexto-Espao15Char">
    <w:name w:val="Unidavi Texto - Espaço 1.5 Char"/>
    <w:link w:val="UnidaviTexto-Espao15"/>
    <w:rsid w:val="00F174EE"/>
    <w:rPr>
      <w:rFonts w:ascii="Times New Roman" w:eastAsia="Times New Roman" w:hAnsi="Times New Roman"/>
      <w:sz w:val="24"/>
      <w:szCs w:val="24"/>
      <w:lang w:eastAsia="pt-BR"/>
    </w:rPr>
  </w:style>
  <w:style w:type="paragraph" w:customStyle="1" w:styleId="UnidaviTexto-Espao15">
    <w:name w:val="Unidavi Texto - Espaço 1.5"/>
    <w:basedOn w:val="Normal"/>
    <w:link w:val="UnidaviTexto-Espao15Char"/>
    <w:rsid w:val="00F174EE"/>
    <w:pPr>
      <w:spacing w:line="360" w:lineRule="auto"/>
      <w:ind w:firstLine="709"/>
      <w:jc w:val="both"/>
    </w:pPr>
    <w:rPr>
      <w:rFonts w:eastAsia="Times New Roman" w:cstheme="minorBidi"/>
      <w:lang w:eastAsia="pt-BR"/>
    </w:rPr>
  </w:style>
  <w:style w:type="paragraph" w:customStyle="1" w:styleId="UnidaviSeoTerciria">
    <w:name w:val="Unidavi Seção Terciária"/>
    <w:basedOn w:val="Normal"/>
    <w:rsid w:val="00F174EE"/>
    <w:pPr>
      <w:spacing w:line="360" w:lineRule="auto"/>
    </w:pPr>
    <w:rPr>
      <w:rFonts w:eastAsia="Times New Roman"/>
      <w:b/>
      <w:lang w:eastAsia="pt-BR"/>
    </w:rPr>
  </w:style>
  <w:style w:type="paragraph" w:customStyle="1" w:styleId="UnidaviCitaoLonga">
    <w:name w:val="Unidavi Citação Longa"/>
    <w:basedOn w:val="Normal"/>
    <w:link w:val="UnidaviCitaoLongaChar"/>
    <w:rsid w:val="00E63367"/>
    <w:pPr>
      <w:ind w:left="2268"/>
      <w:jc w:val="both"/>
    </w:pPr>
    <w:rPr>
      <w:sz w:val="20"/>
      <w:szCs w:val="20"/>
      <w:lang w:eastAsia="pt-BR"/>
    </w:rPr>
  </w:style>
  <w:style w:type="character" w:customStyle="1" w:styleId="UnidaviCitaoLongaChar">
    <w:name w:val="Unidavi Citação Longa Char"/>
    <w:link w:val="UnidaviCitaoLonga"/>
    <w:rsid w:val="00E63367"/>
    <w:rPr>
      <w:rFonts w:ascii="Times New Roman" w:eastAsia="SimSun" w:hAnsi="Times New Roman" w:cs="Times New Roman"/>
      <w:sz w:val="20"/>
      <w:szCs w:val="20"/>
      <w:lang w:eastAsia="pt-BR"/>
    </w:rPr>
  </w:style>
  <w:style w:type="paragraph" w:customStyle="1" w:styleId="Capa">
    <w:name w:val="Capa"/>
    <w:basedOn w:val="Normal"/>
    <w:qFormat/>
    <w:rsid w:val="00AA10EA"/>
    <w:pPr>
      <w:spacing w:line="360" w:lineRule="auto"/>
      <w:ind w:left="4395"/>
      <w:jc w:val="both"/>
    </w:pPr>
    <w:rPr>
      <w:sz w:val="20"/>
    </w:rPr>
  </w:style>
  <w:style w:type="paragraph" w:customStyle="1" w:styleId="Capa1">
    <w:name w:val="Capa1"/>
    <w:basedOn w:val="Normal"/>
    <w:qFormat/>
    <w:rsid w:val="00AA10EA"/>
    <w:pPr>
      <w:jc w:val="center"/>
    </w:pPr>
  </w:style>
  <w:style w:type="paragraph" w:customStyle="1" w:styleId="Capa3">
    <w:name w:val="Capa3"/>
    <w:basedOn w:val="Normal"/>
    <w:qFormat/>
    <w:rsid w:val="00AA10EA"/>
    <w:pPr>
      <w:ind w:left="3969"/>
      <w:jc w:val="both"/>
    </w:pPr>
  </w:style>
  <w:style w:type="paragraph" w:customStyle="1" w:styleId="Resumo">
    <w:name w:val="Resumo"/>
    <w:basedOn w:val="Normal"/>
    <w:qFormat/>
    <w:rsid w:val="00AA10EA"/>
    <w:pPr>
      <w:spacing w:line="360" w:lineRule="auto"/>
      <w:jc w:val="both"/>
    </w:pPr>
  </w:style>
  <w:style w:type="paragraph" w:customStyle="1" w:styleId="Ttulospr-textuais">
    <w:name w:val="Títulos pré-textuais"/>
    <w:basedOn w:val="Normal"/>
    <w:rsid w:val="00AA10EA"/>
    <w:pPr>
      <w:spacing w:after="960"/>
      <w:jc w:val="center"/>
    </w:pPr>
    <w:rPr>
      <w:rFonts w:eastAsia="Times New Roman"/>
      <w:b/>
      <w:caps/>
      <w:szCs w:val="20"/>
      <w:lang w:eastAsia="pt-BR"/>
    </w:rPr>
  </w:style>
  <w:style w:type="paragraph" w:styleId="Rodap">
    <w:name w:val="footer"/>
    <w:basedOn w:val="Normal"/>
    <w:link w:val="RodapChar"/>
    <w:uiPriority w:val="99"/>
    <w:unhideWhenUsed/>
    <w:rsid w:val="00B8782F"/>
    <w:pPr>
      <w:tabs>
        <w:tab w:val="center" w:pos="4252"/>
        <w:tab w:val="right" w:pos="8504"/>
      </w:tabs>
    </w:pPr>
  </w:style>
  <w:style w:type="character" w:customStyle="1" w:styleId="RodapChar">
    <w:name w:val="Rodapé Char"/>
    <w:basedOn w:val="Fontepargpadro"/>
    <w:link w:val="Rodap"/>
    <w:uiPriority w:val="99"/>
    <w:rsid w:val="00B8782F"/>
    <w:rPr>
      <w:rFonts w:ascii="Times New Roman" w:eastAsia="SimSun" w:hAnsi="Times New Roman" w:cs="Times New Roman"/>
      <w:sz w:val="24"/>
      <w:szCs w:val="24"/>
      <w:lang w:eastAsia="zh-CN"/>
    </w:rPr>
  </w:style>
  <w:style w:type="paragraph" w:styleId="Cabealho">
    <w:name w:val="header"/>
    <w:basedOn w:val="Normal"/>
    <w:link w:val="CabealhoChar"/>
    <w:uiPriority w:val="99"/>
    <w:unhideWhenUsed/>
    <w:rsid w:val="00B8782F"/>
    <w:pPr>
      <w:tabs>
        <w:tab w:val="center" w:pos="4252"/>
        <w:tab w:val="right" w:pos="8504"/>
      </w:tabs>
    </w:pPr>
  </w:style>
  <w:style w:type="character" w:customStyle="1" w:styleId="CabealhoChar">
    <w:name w:val="Cabeçalho Char"/>
    <w:basedOn w:val="Fontepargpadro"/>
    <w:link w:val="Cabealho"/>
    <w:uiPriority w:val="99"/>
    <w:rsid w:val="00B8782F"/>
    <w:rPr>
      <w:rFonts w:ascii="Times New Roman" w:eastAsia="SimSun" w:hAnsi="Times New Roman" w:cs="Times New Roman"/>
      <w:sz w:val="24"/>
      <w:szCs w:val="24"/>
      <w:lang w:eastAsia="zh-CN"/>
    </w:rPr>
  </w:style>
  <w:style w:type="table" w:styleId="Tabelacomgrade">
    <w:name w:val="Table Grid"/>
    <w:basedOn w:val="Tabelanormal"/>
    <w:uiPriority w:val="39"/>
    <w:rsid w:val="008B4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C3130A"/>
    <w:pPr>
      <w:spacing w:after="200"/>
    </w:pPr>
    <w:rPr>
      <w:i/>
      <w:iCs/>
      <w:color w:val="44546A" w:themeColor="text2"/>
      <w:sz w:val="18"/>
      <w:szCs w:val="18"/>
    </w:rPr>
  </w:style>
  <w:style w:type="paragraph" w:styleId="ndicedeilustraes">
    <w:name w:val="table of figures"/>
    <w:basedOn w:val="Normal"/>
    <w:next w:val="Normal"/>
    <w:uiPriority w:val="99"/>
    <w:semiHidden/>
    <w:unhideWhenUsed/>
    <w:rsid w:val="00F9319C"/>
    <w:pPr>
      <w:spacing w:line="360" w:lineRule="auto"/>
    </w:pPr>
  </w:style>
  <w:style w:type="character" w:styleId="Forte">
    <w:name w:val="Strong"/>
    <w:basedOn w:val="Fontepargpadro"/>
    <w:uiPriority w:val="22"/>
    <w:qFormat/>
    <w:rsid w:val="00405A13"/>
    <w:rPr>
      <w:b/>
      <w:bCs/>
    </w:rPr>
  </w:style>
  <w:style w:type="character" w:styleId="Hyperlink">
    <w:name w:val="Hyperlink"/>
    <w:basedOn w:val="Fontepargpadro"/>
    <w:uiPriority w:val="99"/>
    <w:unhideWhenUsed/>
    <w:rsid w:val="001F5DA4"/>
    <w:rPr>
      <w:color w:val="0563C1" w:themeColor="hyperlink"/>
      <w:u w:val="single"/>
    </w:rPr>
  </w:style>
  <w:style w:type="table" w:styleId="ListaMdia2-nfase1">
    <w:name w:val="Medium List 2 Accent 1"/>
    <w:basedOn w:val="Tabelanormal"/>
    <w:uiPriority w:val="66"/>
    <w:rsid w:val="00E1351B"/>
    <w:pPr>
      <w:spacing w:after="0" w:line="240" w:lineRule="auto"/>
    </w:pPr>
    <w:rPr>
      <w:rFonts w:asciiTheme="majorHAnsi" w:eastAsiaTheme="majorEastAsia" w:hAnsiTheme="majorHAnsi" w:cstheme="majorBidi"/>
      <w:color w:val="000000" w:themeColor="text1"/>
      <w:lang w:eastAsia="pt-B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deLista7Colorida-nfase3">
    <w:name w:val="List Table 7 Colorful Accent 3"/>
    <w:basedOn w:val="Tabelanormal"/>
    <w:uiPriority w:val="52"/>
    <w:rsid w:val="00E1351B"/>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776D33"/>
    <w:pPr>
      <w:spacing w:before="100" w:beforeAutospacing="1" w:after="100" w:afterAutospacing="1"/>
    </w:pPr>
    <w:rPr>
      <w:rFonts w:eastAsia="Times New Roman"/>
      <w:lang w:eastAsia="pt-BR"/>
    </w:rPr>
  </w:style>
  <w:style w:type="character" w:customStyle="1" w:styleId="Ttulo3Char">
    <w:name w:val="Título 3 Char"/>
    <w:basedOn w:val="Fontepargpadro"/>
    <w:link w:val="Ttulo3"/>
    <w:uiPriority w:val="9"/>
    <w:rsid w:val="000612CB"/>
    <w:rPr>
      <w:rFonts w:ascii="Times New Roman" w:eastAsia="Times New Roman" w:hAnsi="Times New Roman" w:cs="Times New Roman"/>
      <w:b/>
      <w:bCs/>
      <w:sz w:val="27"/>
      <w:szCs w:val="27"/>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6489">
      <w:bodyDiv w:val="1"/>
      <w:marLeft w:val="0"/>
      <w:marRight w:val="0"/>
      <w:marTop w:val="0"/>
      <w:marBottom w:val="0"/>
      <w:divBdr>
        <w:top w:val="none" w:sz="0" w:space="0" w:color="auto"/>
        <w:left w:val="none" w:sz="0" w:space="0" w:color="auto"/>
        <w:bottom w:val="none" w:sz="0" w:space="0" w:color="auto"/>
        <w:right w:val="none" w:sz="0" w:space="0" w:color="auto"/>
      </w:divBdr>
    </w:div>
    <w:div w:id="42020430">
      <w:bodyDiv w:val="1"/>
      <w:marLeft w:val="0"/>
      <w:marRight w:val="0"/>
      <w:marTop w:val="0"/>
      <w:marBottom w:val="0"/>
      <w:divBdr>
        <w:top w:val="none" w:sz="0" w:space="0" w:color="auto"/>
        <w:left w:val="none" w:sz="0" w:space="0" w:color="auto"/>
        <w:bottom w:val="none" w:sz="0" w:space="0" w:color="auto"/>
        <w:right w:val="none" w:sz="0" w:space="0" w:color="auto"/>
      </w:divBdr>
    </w:div>
    <w:div w:id="52853834">
      <w:bodyDiv w:val="1"/>
      <w:marLeft w:val="0"/>
      <w:marRight w:val="0"/>
      <w:marTop w:val="0"/>
      <w:marBottom w:val="0"/>
      <w:divBdr>
        <w:top w:val="none" w:sz="0" w:space="0" w:color="auto"/>
        <w:left w:val="none" w:sz="0" w:space="0" w:color="auto"/>
        <w:bottom w:val="none" w:sz="0" w:space="0" w:color="auto"/>
        <w:right w:val="none" w:sz="0" w:space="0" w:color="auto"/>
      </w:divBdr>
    </w:div>
    <w:div w:id="79184181">
      <w:bodyDiv w:val="1"/>
      <w:marLeft w:val="0"/>
      <w:marRight w:val="0"/>
      <w:marTop w:val="0"/>
      <w:marBottom w:val="0"/>
      <w:divBdr>
        <w:top w:val="none" w:sz="0" w:space="0" w:color="auto"/>
        <w:left w:val="none" w:sz="0" w:space="0" w:color="auto"/>
        <w:bottom w:val="none" w:sz="0" w:space="0" w:color="auto"/>
        <w:right w:val="none" w:sz="0" w:space="0" w:color="auto"/>
      </w:divBdr>
    </w:div>
    <w:div w:id="91359099">
      <w:bodyDiv w:val="1"/>
      <w:marLeft w:val="0"/>
      <w:marRight w:val="0"/>
      <w:marTop w:val="0"/>
      <w:marBottom w:val="0"/>
      <w:divBdr>
        <w:top w:val="none" w:sz="0" w:space="0" w:color="auto"/>
        <w:left w:val="none" w:sz="0" w:space="0" w:color="auto"/>
        <w:bottom w:val="none" w:sz="0" w:space="0" w:color="auto"/>
        <w:right w:val="none" w:sz="0" w:space="0" w:color="auto"/>
      </w:divBdr>
    </w:div>
    <w:div w:id="93945305">
      <w:bodyDiv w:val="1"/>
      <w:marLeft w:val="0"/>
      <w:marRight w:val="0"/>
      <w:marTop w:val="0"/>
      <w:marBottom w:val="0"/>
      <w:divBdr>
        <w:top w:val="none" w:sz="0" w:space="0" w:color="auto"/>
        <w:left w:val="none" w:sz="0" w:space="0" w:color="auto"/>
        <w:bottom w:val="none" w:sz="0" w:space="0" w:color="auto"/>
        <w:right w:val="none" w:sz="0" w:space="0" w:color="auto"/>
      </w:divBdr>
    </w:div>
    <w:div w:id="117341839">
      <w:bodyDiv w:val="1"/>
      <w:marLeft w:val="0"/>
      <w:marRight w:val="0"/>
      <w:marTop w:val="0"/>
      <w:marBottom w:val="0"/>
      <w:divBdr>
        <w:top w:val="none" w:sz="0" w:space="0" w:color="auto"/>
        <w:left w:val="none" w:sz="0" w:space="0" w:color="auto"/>
        <w:bottom w:val="none" w:sz="0" w:space="0" w:color="auto"/>
        <w:right w:val="none" w:sz="0" w:space="0" w:color="auto"/>
      </w:divBdr>
    </w:div>
    <w:div w:id="123888877">
      <w:bodyDiv w:val="1"/>
      <w:marLeft w:val="0"/>
      <w:marRight w:val="0"/>
      <w:marTop w:val="0"/>
      <w:marBottom w:val="0"/>
      <w:divBdr>
        <w:top w:val="none" w:sz="0" w:space="0" w:color="auto"/>
        <w:left w:val="none" w:sz="0" w:space="0" w:color="auto"/>
        <w:bottom w:val="none" w:sz="0" w:space="0" w:color="auto"/>
        <w:right w:val="none" w:sz="0" w:space="0" w:color="auto"/>
      </w:divBdr>
    </w:div>
    <w:div w:id="129053672">
      <w:bodyDiv w:val="1"/>
      <w:marLeft w:val="0"/>
      <w:marRight w:val="0"/>
      <w:marTop w:val="0"/>
      <w:marBottom w:val="0"/>
      <w:divBdr>
        <w:top w:val="none" w:sz="0" w:space="0" w:color="auto"/>
        <w:left w:val="none" w:sz="0" w:space="0" w:color="auto"/>
        <w:bottom w:val="none" w:sz="0" w:space="0" w:color="auto"/>
        <w:right w:val="none" w:sz="0" w:space="0" w:color="auto"/>
      </w:divBdr>
    </w:div>
    <w:div w:id="136920424">
      <w:bodyDiv w:val="1"/>
      <w:marLeft w:val="0"/>
      <w:marRight w:val="0"/>
      <w:marTop w:val="0"/>
      <w:marBottom w:val="0"/>
      <w:divBdr>
        <w:top w:val="none" w:sz="0" w:space="0" w:color="auto"/>
        <w:left w:val="none" w:sz="0" w:space="0" w:color="auto"/>
        <w:bottom w:val="none" w:sz="0" w:space="0" w:color="auto"/>
        <w:right w:val="none" w:sz="0" w:space="0" w:color="auto"/>
      </w:divBdr>
    </w:div>
    <w:div w:id="178743923">
      <w:bodyDiv w:val="1"/>
      <w:marLeft w:val="0"/>
      <w:marRight w:val="0"/>
      <w:marTop w:val="0"/>
      <w:marBottom w:val="0"/>
      <w:divBdr>
        <w:top w:val="none" w:sz="0" w:space="0" w:color="auto"/>
        <w:left w:val="none" w:sz="0" w:space="0" w:color="auto"/>
        <w:bottom w:val="none" w:sz="0" w:space="0" w:color="auto"/>
        <w:right w:val="none" w:sz="0" w:space="0" w:color="auto"/>
      </w:divBdr>
    </w:div>
    <w:div w:id="188496881">
      <w:bodyDiv w:val="1"/>
      <w:marLeft w:val="0"/>
      <w:marRight w:val="0"/>
      <w:marTop w:val="0"/>
      <w:marBottom w:val="0"/>
      <w:divBdr>
        <w:top w:val="none" w:sz="0" w:space="0" w:color="auto"/>
        <w:left w:val="none" w:sz="0" w:space="0" w:color="auto"/>
        <w:bottom w:val="none" w:sz="0" w:space="0" w:color="auto"/>
        <w:right w:val="none" w:sz="0" w:space="0" w:color="auto"/>
      </w:divBdr>
    </w:div>
    <w:div w:id="199558069">
      <w:bodyDiv w:val="1"/>
      <w:marLeft w:val="0"/>
      <w:marRight w:val="0"/>
      <w:marTop w:val="0"/>
      <w:marBottom w:val="0"/>
      <w:divBdr>
        <w:top w:val="none" w:sz="0" w:space="0" w:color="auto"/>
        <w:left w:val="none" w:sz="0" w:space="0" w:color="auto"/>
        <w:bottom w:val="none" w:sz="0" w:space="0" w:color="auto"/>
        <w:right w:val="none" w:sz="0" w:space="0" w:color="auto"/>
      </w:divBdr>
    </w:div>
    <w:div w:id="206843301">
      <w:bodyDiv w:val="1"/>
      <w:marLeft w:val="0"/>
      <w:marRight w:val="0"/>
      <w:marTop w:val="0"/>
      <w:marBottom w:val="0"/>
      <w:divBdr>
        <w:top w:val="none" w:sz="0" w:space="0" w:color="auto"/>
        <w:left w:val="none" w:sz="0" w:space="0" w:color="auto"/>
        <w:bottom w:val="none" w:sz="0" w:space="0" w:color="auto"/>
        <w:right w:val="none" w:sz="0" w:space="0" w:color="auto"/>
      </w:divBdr>
    </w:div>
    <w:div w:id="232082164">
      <w:bodyDiv w:val="1"/>
      <w:marLeft w:val="0"/>
      <w:marRight w:val="0"/>
      <w:marTop w:val="0"/>
      <w:marBottom w:val="0"/>
      <w:divBdr>
        <w:top w:val="none" w:sz="0" w:space="0" w:color="auto"/>
        <w:left w:val="none" w:sz="0" w:space="0" w:color="auto"/>
        <w:bottom w:val="none" w:sz="0" w:space="0" w:color="auto"/>
        <w:right w:val="none" w:sz="0" w:space="0" w:color="auto"/>
      </w:divBdr>
    </w:div>
    <w:div w:id="240022336">
      <w:bodyDiv w:val="1"/>
      <w:marLeft w:val="0"/>
      <w:marRight w:val="0"/>
      <w:marTop w:val="0"/>
      <w:marBottom w:val="0"/>
      <w:divBdr>
        <w:top w:val="none" w:sz="0" w:space="0" w:color="auto"/>
        <w:left w:val="none" w:sz="0" w:space="0" w:color="auto"/>
        <w:bottom w:val="none" w:sz="0" w:space="0" w:color="auto"/>
        <w:right w:val="none" w:sz="0" w:space="0" w:color="auto"/>
      </w:divBdr>
    </w:div>
    <w:div w:id="265161379">
      <w:bodyDiv w:val="1"/>
      <w:marLeft w:val="0"/>
      <w:marRight w:val="0"/>
      <w:marTop w:val="0"/>
      <w:marBottom w:val="0"/>
      <w:divBdr>
        <w:top w:val="none" w:sz="0" w:space="0" w:color="auto"/>
        <w:left w:val="none" w:sz="0" w:space="0" w:color="auto"/>
        <w:bottom w:val="none" w:sz="0" w:space="0" w:color="auto"/>
        <w:right w:val="none" w:sz="0" w:space="0" w:color="auto"/>
      </w:divBdr>
    </w:div>
    <w:div w:id="280183967">
      <w:bodyDiv w:val="1"/>
      <w:marLeft w:val="0"/>
      <w:marRight w:val="0"/>
      <w:marTop w:val="0"/>
      <w:marBottom w:val="0"/>
      <w:divBdr>
        <w:top w:val="none" w:sz="0" w:space="0" w:color="auto"/>
        <w:left w:val="none" w:sz="0" w:space="0" w:color="auto"/>
        <w:bottom w:val="none" w:sz="0" w:space="0" w:color="auto"/>
        <w:right w:val="none" w:sz="0" w:space="0" w:color="auto"/>
      </w:divBdr>
    </w:div>
    <w:div w:id="318769105">
      <w:bodyDiv w:val="1"/>
      <w:marLeft w:val="0"/>
      <w:marRight w:val="0"/>
      <w:marTop w:val="0"/>
      <w:marBottom w:val="0"/>
      <w:divBdr>
        <w:top w:val="none" w:sz="0" w:space="0" w:color="auto"/>
        <w:left w:val="none" w:sz="0" w:space="0" w:color="auto"/>
        <w:bottom w:val="none" w:sz="0" w:space="0" w:color="auto"/>
        <w:right w:val="none" w:sz="0" w:space="0" w:color="auto"/>
      </w:divBdr>
    </w:div>
    <w:div w:id="340008234">
      <w:bodyDiv w:val="1"/>
      <w:marLeft w:val="0"/>
      <w:marRight w:val="0"/>
      <w:marTop w:val="0"/>
      <w:marBottom w:val="0"/>
      <w:divBdr>
        <w:top w:val="none" w:sz="0" w:space="0" w:color="auto"/>
        <w:left w:val="none" w:sz="0" w:space="0" w:color="auto"/>
        <w:bottom w:val="none" w:sz="0" w:space="0" w:color="auto"/>
        <w:right w:val="none" w:sz="0" w:space="0" w:color="auto"/>
      </w:divBdr>
    </w:div>
    <w:div w:id="346565341">
      <w:bodyDiv w:val="1"/>
      <w:marLeft w:val="0"/>
      <w:marRight w:val="0"/>
      <w:marTop w:val="0"/>
      <w:marBottom w:val="0"/>
      <w:divBdr>
        <w:top w:val="none" w:sz="0" w:space="0" w:color="auto"/>
        <w:left w:val="none" w:sz="0" w:space="0" w:color="auto"/>
        <w:bottom w:val="none" w:sz="0" w:space="0" w:color="auto"/>
        <w:right w:val="none" w:sz="0" w:space="0" w:color="auto"/>
      </w:divBdr>
    </w:div>
    <w:div w:id="406075498">
      <w:bodyDiv w:val="1"/>
      <w:marLeft w:val="0"/>
      <w:marRight w:val="0"/>
      <w:marTop w:val="0"/>
      <w:marBottom w:val="0"/>
      <w:divBdr>
        <w:top w:val="none" w:sz="0" w:space="0" w:color="auto"/>
        <w:left w:val="none" w:sz="0" w:space="0" w:color="auto"/>
        <w:bottom w:val="none" w:sz="0" w:space="0" w:color="auto"/>
        <w:right w:val="none" w:sz="0" w:space="0" w:color="auto"/>
      </w:divBdr>
    </w:div>
    <w:div w:id="423691071">
      <w:bodyDiv w:val="1"/>
      <w:marLeft w:val="0"/>
      <w:marRight w:val="0"/>
      <w:marTop w:val="0"/>
      <w:marBottom w:val="0"/>
      <w:divBdr>
        <w:top w:val="none" w:sz="0" w:space="0" w:color="auto"/>
        <w:left w:val="none" w:sz="0" w:space="0" w:color="auto"/>
        <w:bottom w:val="none" w:sz="0" w:space="0" w:color="auto"/>
        <w:right w:val="none" w:sz="0" w:space="0" w:color="auto"/>
      </w:divBdr>
    </w:div>
    <w:div w:id="445270575">
      <w:bodyDiv w:val="1"/>
      <w:marLeft w:val="0"/>
      <w:marRight w:val="0"/>
      <w:marTop w:val="0"/>
      <w:marBottom w:val="0"/>
      <w:divBdr>
        <w:top w:val="none" w:sz="0" w:space="0" w:color="auto"/>
        <w:left w:val="none" w:sz="0" w:space="0" w:color="auto"/>
        <w:bottom w:val="none" w:sz="0" w:space="0" w:color="auto"/>
        <w:right w:val="none" w:sz="0" w:space="0" w:color="auto"/>
      </w:divBdr>
    </w:div>
    <w:div w:id="445731753">
      <w:bodyDiv w:val="1"/>
      <w:marLeft w:val="0"/>
      <w:marRight w:val="0"/>
      <w:marTop w:val="0"/>
      <w:marBottom w:val="0"/>
      <w:divBdr>
        <w:top w:val="none" w:sz="0" w:space="0" w:color="auto"/>
        <w:left w:val="none" w:sz="0" w:space="0" w:color="auto"/>
        <w:bottom w:val="none" w:sz="0" w:space="0" w:color="auto"/>
        <w:right w:val="none" w:sz="0" w:space="0" w:color="auto"/>
      </w:divBdr>
    </w:div>
    <w:div w:id="463545932">
      <w:bodyDiv w:val="1"/>
      <w:marLeft w:val="0"/>
      <w:marRight w:val="0"/>
      <w:marTop w:val="0"/>
      <w:marBottom w:val="0"/>
      <w:divBdr>
        <w:top w:val="none" w:sz="0" w:space="0" w:color="auto"/>
        <w:left w:val="none" w:sz="0" w:space="0" w:color="auto"/>
        <w:bottom w:val="none" w:sz="0" w:space="0" w:color="auto"/>
        <w:right w:val="none" w:sz="0" w:space="0" w:color="auto"/>
      </w:divBdr>
    </w:div>
    <w:div w:id="492256861">
      <w:bodyDiv w:val="1"/>
      <w:marLeft w:val="0"/>
      <w:marRight w:val="0"/>
      <w:marTop w:val="0"/>
      <w:marBottom w:val="0"/>
      <w:divBdr>
        <w:top w:val="none" w:sz="0" w:space="0" w:color="auto"/>
        <w:left w:val="none" w:sz="0" w:space="0" w:color="auto"/>
        <w:bottom w:val="none" w:sz="0" w:space="0" w:color="auto"/>
        <w:right w:val="none" w:sz="0" w:space="0" w:color="auto"/>
      </w:divBdr>
    </w:div>
    <w:div w:id="493305225">
      <w:bodyDiv w:val="1"/>
      <w:marLeft w:val="0"/>
      <w:marRight w:val="0"/>
      <w:marTop w:val="0"/>
      <w:marBottom w:val="0"/>
      <w:divBdr>
        <w:top w:val="none" w:sz="0" w:space="0" w:color="auto"/>
        <w:left w:val="none" w:sz="0" w:space="0" w:color="auto"/>
        <w:bottom w:val="none" w:sz="0" w:space="0" w:color="auto"/>
        <w:right w:val="none" w:sz="0" w:space="0" w:color="auto"/>
      </w:divBdr>
    </w:div>
    <w:div w:id="494809836">
      <w:bodyDiv w:val="1"/>
      <w:marLeft w:val="0"/>
      <w:marRight w:val="0"/>
      <w:marTop w:val="0"/>
      <w:marBottom w:val="0"/>
      <w:divBdr>
        <w:top w:val="none" w:sz="0" w:space="0" w:color="auto"/>
        <w:left w:val="none" w:sz="0" w:space="0" w:color="auto"/>
        <w:bottom w:val="none" w:sz="0" w:space="0" w:color="auto"/>
        <w:right w:val="none" w:sz="0" w:space="0" w:color="auto"/>
      </w:divBdr>
    </w:div>
    <w:div w:id="504708559">
      <w:bodyDiv w:val="1"/>
      <w:marLeft w:val="0"/>
      <w:marRight w:val="0"/>
      <w:marTop w:val="0"/>
      <w:marBottom w:val="0"/>
      <w:divBdr>
        <w:top w:val="none" w:sz="0" w:space="0" w:color="auto"/>
        <w:left w:val="none" w:sz="0" w:space="0" w:color="auto"/>
        <w:bottom w:val="none" w:sz="0" w:space="0" w:color="auto"/>
        <w:right w:val="none" w:sz="0" w:space="0" w:color="auto"/>
      </w:divBdr>
    </w:div>
    <w:div w:id="516434240">
      <w:bodyDiv w:val="1"/>
      <w:marLeft w:val="0"/>
      <w:marRight w:val="0"/>
      <w:marTop w:val="0"/>
      <w:marBottom w:val="0"/>
      <w:divBdr>
        <w:top w:val="none" w:sz="0" w:space="0" w:color="auto"/>
        <w:left w:val="none" w:sz="0" w:space="0" w:color="auto"/>
        <w:bottom w:val="none" w:sz="0" w:space="0" w:color="auto"/>
        <w:right w:val="none" w:sz="0" w:space="0" w:color="auto"/>
      </w:divBdr>
    </w:div>
    <w:div w:id="533152810">
      <w:bodyDiv w:val="1"/>
      <w:marLeft w:val="0"/>
      <w:marRight w:val="0"/>
      <w:marTop w:val="0"/>
      <w:marBottom w:val="0"/>
      <w:divBdr>
        <w:top w:val="none" w:sz="0" w:space="0" w:color="auto"/>
        <w:left w:val="none" w:sz="0" w:space="0" w:color="auto"/>
        <w:bottom w:val="none" w:sz="0" w:space="0" w:color="auto"/>
        <w:right w:val="none" w:sz="0" w:space="0" w:color="auto"/>
      </w:divBdr>
    </w:div>
    <w:div w:id="551774566">
      <w:bodyDiv w:val="1"/>
      <w:marLeft w:val="0"/>
      <w:marRight w:val="0"/>
      <w:marTop w:val="0"/>
      <w:marBottom w:val="0"/>
      <w:divBdr>
        <w:top w:val="none" w:sz="0" w:space="0" w:color="auto"/>
        <w:left w:val="none" w:sz="0" w:space="0" w:color="auto"/>
        <w:bottom w:val="none" w:sz="0" w:space="0" w:color="auto"/>
        <w:right w:val="none" w:sz="0" w:space="0" w:color="auto"/>
      </w:divBdr>
    </w:div>
    <w:div w:id="591938974">
      <w:bodyDiv w:val="1"/>
      <w:marLeft w:val="0"/>
      <w:marRight w:val="0"/>
      <w:marTop w:val="0"/>
      <w:marBottom w:val="0"/>
      <w:divBdr>
        <w:top w:val="none" w:sz="0" w:space="0" w:color="auto"/>
        <w:left w:val="none" w:sz="0" w:space="0" w:color="auto"/>
        <w:bottom w:val="none" w:sz="0" w:space="0" w:color="auto"/>
        <w:right w:val="none" w:sz="0" w:space="0" w:color="auto"/>
      </w:divBdr>
    </w:div>
    <w:div w:id="592786992">
      <w:bodyDiv w:val="1"/>
      <w:marLeft w:val="0"/>
      <w:marRight w:val="0"/>
      <w:marTop w:val="0"/>
      <w:marBottom w:val="0"/>
      <w:divBdr>
        <w:top w:val="none" w:sz="0" w:space="0" w:color="auto"/>
        <w:left w:val="none" w:sz="0" w:space="0" w:color="auto"/>
        <w:bottom w:val="none" w:sz="0" w:space="0" w:color="auto"/>
        <w:right w:val="none" w:sz="0" w:space="0" w:color="auto"/>
      </w:divBdr>
    </w:div>
    <w:div w:id="604770337">
      <w:bodyDiv w:val="1"/>
      <w:marLeft w:val="0"/>
      <w:marRight w:val="0"/>
      <w:marTop w:val="0"/>
      <w:marBottom w:val="0"/>
      <w:divBdr>
        <w:top w:val="none" w:sz="0" w:space="0" w:color="auto"/>
        <w:left w:val="none" w:sz="0" w:space="0" w:color="auto"/>
        <w:bottom w:val="none" w:sz="0" w:space="0" w:color="auto"/>
        <w:right w:val="none" w:sz="0" w:space="0" w:color="auto"/>
      </w:divBdr>
    </w:div>
    <w:div w:id="619148780">
      <w:bodyDiv w:val="1"/>
      <w:marLeft w:val="0"/>
      <w:marRight w:val="0"/>
      <w:marTop w:val="0"/>
      <w:marBottom w:val="0"/>
      <w:divBdr>
        <w:top w:val="none" w:sz="0" w:space="0" w:color="auto"/>
        <w:left w:val="none" w:sz="0" w:space="0" w:color="auto"/>
        <w:bottom w:val="none" w:sz="0" w:space="0" w:color="auto"/>
        <w:right w:val="none" w:sz="0" w:space="0" w:color="auto"/>
      </w:divBdr>
    </w:div>
    <w:div w:id="654528736">
      <w:bodyDiv w:val="1"/>
      <w:marLeft w:val="0"/>
      <w:marRight w:val="0"/>
      <w:marTop w:val="0"/>
      <w:marBottom w:val="0"/>
      <w:divBdr>
        <w:top w:val="none" w:sz="0" w:space="0" w:color="auto"/>
        <w:left w:val="none" w:sz="0" w:space="0" w:color="auto"/>
        <w:bottom w:val="none" w:sz="0" w:space="0" w:color="auto"/>
        <w:right w:val="none" w:sz="0" w:space="0" w:color="auto"/>
      </w:divBdr>
    </w:div>
    <w:div w:id="674264850">
      <w:bodyDiv w:val="1"/>
      <w:marLeft w:val="0"/>
      <w:marRight w:val="0"/>
      <w:marTop w:val="0"/>
      <w:marBottom w:val="0"/>
      <w:divBdr>
        <w:top w:val="none" w:sz="0" w:space="0" w:color="auto"/>
        <w:left w:val="none" w:sz="0" w:space="0" w:color="auto"/>
        <w:bottom w:val="none" w:sz="0" w:space="0" w:color="auto"/>
        <w:right w:val="none" w:sz="0" w:space="0" w:color="auto"/>
      </w:divBdr>
    </w:div>
    <w:div w:id="682896650">
      <w:bodyDiv w:val="1"/>
      <w:marLeft w:val="0"/>
      <w:marRight w:val="0"/>
      <w:marTop w:val="0"/>
      <w:marBottom w:val="0"/>
      <w:divBdr>
        <w:top w:val="none" w:sz="0" w:space="0" w:color="auto"/>
        <w:left w:val="none" w:sz="0" w:space="0" w:color="auto"/>
        <w:bottom w:val="none" w:sz="0" w:space="0" w:color="auto"/>
        <w:right w:val="none" w:sz="0" w:space="0" w:color="auto"/>
      </w:divBdr>
    </w:div>
    <w:div w:id="695423748">
      <w:bodyDiv w:val="1"/>
      <w:marLeft w:val="0"/>
      <w:marRight w:val="0"/>
      <w:marTop w:val="0"/>
      <w:marBottom w:val="0"/>
      <w:divBdr>
        <w:top w:val="none" w:sz="0" w:space="0" w:color="auto"/>
        <w:left w:val="none" w:sz="0" w:space="0" w:color="auto"/>
        <w:bottom w:val="none" w:sz="0" w:space="0" w:color="auto"/>
        <w:right w:val="none" w:sz="0" w:space="0" w:color="auto"/>
      </w:divBdr>
    </w:div>
    <w:div w:id="705327747">
      <w:bodyDiv w:val="1"/>
      <w:marLeft w:val="0"/>
      <w:marRight w:val="0"/>
      <w:marTop w:val="0"/>
      <w:marBottom w:val="0"/>
      <w:divBdr>
        <w:top w:val="none" w:sz="0" w:space="0" w:color="auto"/>
        <w:left w:val="none" w:sz="0" w:space="0" w:color="auto"/>
        <w:bottom w:val="none" w:sz="0" w:space="0" w:color="auto"/>
        <w:right w:val="none" w:sz="0" w:space="0" w:color="auto"/>
      </w:divBdr>
    </w:div>
    <w:div w:id="772941914">
      <w:bodyDiv w:val="1"/>
      <w:marLeft w:val="0"/>
      <w:marRight w:val="0"/>
      <w:marTop w:val="0"/>
      <w:marBottom w:val="0"/>
      <w:divBdr>
        <w:top w:val="none" w:sz="0" w:space="0" w:color="auto"/>
        <w:left w:val="none" w:sz="0" w:space="0" w:color="auto"/>
        <w:bottom w:val="none" w:sz="0" w:space="0" w:color="auto"/>
        <w:right w:val="none" w:sz="0" w:space="0" w:color="auto"/>
      </w:divBdr>
    </w:div>
    <w:div w:id="776025919">
      <w:bodyDiv w:val="1"/>
      <w:marLeft w:val="0"/>
      <w:marRight w:val="0"/>
      <w:marTop w:val="0"/>
      <w:marBottom w:val="0"/>
      <w:divBdr>
        <w:top w:val="none" w:sz="0" w:space="0" w:color="auto"/>
        <w:left w:val="none" w:sz="0" w:space="0" w:color="auto"/>
        <w:bottom w:val="none" w:sz="0" w:space="0" w:color="auto"/>
        <w:right w:val="none" w:sz="0" w:space="0" w:color="auto"/>
      </w:divBdr>
    </w:div>
    <w:div w:id="777139775">
      <w:bodyDiv w:val="1"/>
      <w:marLeft w:val="0"/>
      <w:marRight w:val="0"/>
      <w:marTop w:val="0"/>
      <w:marBottom w:val="0"/>
      <w:divBdr>
        <w:top w:val="none" w:sz="0" w:space="0" w:color="auto"/>
        <w:left w:val="none" w:sz="0" w:space="0" w:color="auto"/>
        <w:bottom w:val="none" w:sz="0" w:space="0" w:color="auto"/>
        <w:right w:val="none" w:sz="0" w:space="0" w:color="auto"/>
      </w:divBdr>
    </w:div>
    <w:div w:id="784689425">
      <w:bodyDiv w:val="1"/>
      <w:marLeft w:val="0"/>
      <w:marRight w:val="0"/>
      <w:marTop w:val="0"/>
      <w:marBottom w:val="0"/>
      <w:divBdr>
        <w:top w:val="none" w:sz="0" w:space="0" w:color="auto"/>
        <w:left w:val="none" w:sz="0" w:space="0" w:color="auto"/>
        <w:bottom w:val="none" w:sz="0" w:space="0" w:color="auto"/>
        <w:right w:val="none" w:sz="0" w:space="0" w:color="auto"/>
      </w:divBdr>
    </w:div>
    <w:div w:id="795028794">
      <w:bodyDiv w:val="1"/>
      <w:marLeft w:val="0"/>
      <w:marRight w:val="0"/>
      <w:marTop w:val="0"/>
      <w:marBottom w:val="0"/>
      <w:divBdr>
        <w:top w:val="none" w:sz="0" w:space="0" w:color="auto"/>
        <w:left w:val="none" w:sz="0" w:space="0" w:color="auto"/>
        <w:bottom w:val="none" w:sz="0" w:space="0" w:color="auto"/>
        <w:right w:val="none" w:sz="0" w:space="0" w:color="auto"/>
      </w:divBdr>
    </w:div>
    <w:div w:id="815994954">
      <w:bodyDiv w:val="1"/>
      <w:marLeft w:val="0"/>
      <w:marRight w:val="0"/>
      <w:marTop w:val="0"/>
      <w:marBottom w:val="0"/>
      <w:divBdr>
        <w:top w:val="none" w:sz="0" w:space="0" w:color="auto"/>
        <w:left w:val="none" w:sz="0" w:space="0" w:color="auto"/>
        <w:bottom w:val="none" w:sz="0" w:space="0" w:color="auto"/>
        <w:right w:val="none" w:sz="0" w:space="0" w:color="auto"/>
      </w:divBdr>
    </w:div>
    <w:div w:id="824709188">
      <w:bodyDiv w:val="1"/>
      <w:marLeft w:val="0"/>
      <w:marRight w:val="0"/>
      <w:marTop w:val="0"/>
      <w:marBottom w:val="0"/>
      <w:divBdr>
        <w:top w:val="none" w:sz="0" w:space="0" w:color="auto"/>
        <w:left w:val="none" w:sz="0" w:space="0" w:color="auto"/>
        <w:bottom w:val="none" w:sz="0" w:space="0" w:color="auto"/>
        <w:right w:val="none" w:sz="0" w:space="0" w:color="auto"/>
      </w:divBdr>
    </w:div>
    <w:div w:id="825631873">
      <w:bodyDiv w:val="1"/>
      <w:marLeft w:val="0"/>
      <w:marRight w:val="0"/>
      <w:marTop w:val="0"/>
      <w:marBottom w:val="0"/>
      <w:divBdr>
        <w:top w:val="none" w:sz="0" w:space="0" w:color="auto"/>
        <w:left w:val="none" w:sz="0" w:space="0" w:color="auto"/>
        <w:bottom w:val="none" w:sz="0" w:space="0" w:color="auto"/>
        <w:right w:val="none" w:sz="0" w:space="0" w:color="auto"/>
      </w:divBdr>
    </w:div>
    <w:div w:id="831487800">
      <w:bodyDiv w:val="1"/>
      <w:marLeft w:val="0"/>
      <w:marRight w:val="0"/>
      <w:marTop w:val="0"/>
      <w:marBottom w:val="0"/>
      <w:divBdr>
        <w:top w:val="none" w:sz="0" w:space="0" w:color="auto"/>
        <w:left w:val="none" w:sz="0" w:space="0" w:color="auto"/>
        <w:bottom w:val="none" w:sz="0" w:space="0" w:color="auto"/>
        <w:right w:val="none" w:sz="0" w:space="0" w:color="auto"/>
      </w:divBdr>
    </w:div>
    <w:div w:id="849292310">
      <w:bodyDiv w:val="1"/>
      <w:marLeft w:val="0"/>
      <w:marRight w:val="0"/>
      <w:marTop w:val="0"/>
      <w:marBottom w:val="0"/>
      <w:divBdr>
        <w:top w:val="none" w:sz="0" w:space="0" w:color="auto"/>
        <w:left w:val="none" w:sz="0" w:space="0" w:color="auto"/>
        <w:bottom w:val="none" w:sz="0" w:space="0" w:color="auto"/>
        <w:right w:val="none" w:sz="0" w:space="0" w:color="auto"/>
      </w:divBdr>
    </w:div>
    <w:div w:id="872961505">
      <w:bodyDiv w:val="1"/>
      <w:marLeft w:val="0"/>
      <w:marRight w:val="0"/>
      <w:marTop w:val="0"/>
      <w:marBottom w:val="0"/>
      <w:divBdr>
        <w:top w:val="none" w:sz="0" w:space="0" w:color="auto"/>
        <w:left w:val="none" w:sz="0" w:space="0" w:color="auto"/>
        <w:bottom w:val="none" w:sz="0" w:space="0" w:color="auto"/>
        <w:right w:val="none" w:sz="0" w:space="0" w:color="auto"/>
      </w:divBdr>
    </w:div>
    <w:div w:id="883982331">
      <w:bodyDiv w:val="1"/>
      <w:marLeft w:val="0"/>
      <w:marRight w:val="0"/>
      <w:marTop w:val="0"/>
      <w:marBottom w:val="0"/>
      <w:divBdr>
        <w:top w:val="none" w:sz="0" w:space="0" w:color="auto"/>
        <w:left w:val="none" w:sz="0" w:space="0" w:color="auto"/>
        <w:bottom w:val="none" w:sz="0" w:space="0" w:color="auto"/>
        <w:right w:val="none" w:sz="0" w:space="0" w:color="auto"/>
      </w:divBdr>
    </w:div>
    <w:div w:id="892620795">
      <w:bodyDiv w:val="1"/>
      <w:marLeft w:val="0"/>
      <w:marRight w:val="0"/>
      <w:marTop w:val="0"/>
      <w:marBottom w:val="0"/>
      <w:divBdr>
        <w:top w:val="none" w:sz="0" w:space="0" w:color="auto"/>
        <w:left w:val="none" w:sz="0" w:space="0" w:color="auto"/>
        <w:bottom w:val="none" w:sz="0" w:space="0" w:color="auto"/>
        <w:right w:val="none" w:sz="0" w:space="0" w:color="auto"/>
      </w:divBdr>
    </w:div>
    <w:div w:id="895973386">
      <w:bodyDiv w:val="1"/>
      <w:marLeft w:val="0"/>
      <w:marRight w:val="0"/>
      <w:marTop w:val="0"/>
      <w:marBottom w:val="0"/>
      <w:divBdr>
        <w:top w:val="none" w:sz="0" w:space="0" w:color="auto"/>
        <w:left w:val="none" w:sz="0" w:space="0" w:color="auto"/>
        <w:bottom w:val="none" w:sz="0" w:space="0" w:color="auto"/>
        <w:right w:val="none" w:sz="0" w:space="0" w:color="auto"/>
      </w:divBdr>
    </w:div>
    <w:div w:id="901866261">
      <w:bodyDiv w:val="1"/>
      <w:marLeft w:val="0"/>
      <w:marRight w:val="0"/>
      <w:marTop w:val="0"/>
      <w:marBottom w:val="0"/>
      <w:divBdr>
        <w:top w:val="none" w:sz="0" w:space="0" w:color="auto"/>
        <w:left w:val="none" w:sz="0" w:space="0" w:color="auto"/>
        <w:bottom w:val="none" w:sz="0" w:space="0" w:color="auto"/>
        <w:right w:val="none" w:sz="0" w:space="0" w:color="auto"/>
      </w:divBdr>
    </w:div>
    <w:div w:id="904414381">
      <w:bodyDiv w:val="1"/>
      <w:marLeft w:val="0"/>
      <w:marRight w:val="0"/>
      <w:marTop w:val="0"/>
      <w:marBottom w:val="0"/>
      <w:divBdr>
        <w:top w:val="none" w:sz="0" w:space="0" w:color="auto"/>
        <w:left w:val="none" w:sz="0" w:space="0" w:color="auto"/>
        <w:bottom w:val="none" w:sz="0" w:space="0" w:color="auto"/>
        <w:right w:val="none" w:sz="0" w:space="0" w:color="auto"/>
      </w:divBdr>
    </w:div>
    <w:div w:id="907157175">
      <w:bodyDiv w:val="1"/>
      <w:marLeft w:val="0"/>
      <w:marRight w:val="0"/>
      <w:marTop w:val="0"/>
      <w:marBottom w:val="0"/>
      <w:divBdr>
        <w:top w:val="none" w:sz="0" w:space="0" w:color="auto"/>
        <w:left w:val="none" w:sz="0" w:space="0" w:color="auto"/>
        <w:bottom w:val="none" w:sz="0" w:space="0" w:color="auto"/>
        <w:right w:val="none" w:sz="0" w:space="0" w:color="auto"/>
      </w:divBdr>
    </w:div>
    <w:div w:id="918447429">
      <w:bodyDiv w:val="1"/>
      <w:marLeft w:val="0"/>
      <w:marRight w:val="0"/>
      <w:marTop w:val="0"/>
      <w:marBottom w:val="0"/>
      <w:divBdr>
        <w:top w:val="none" w:sz="0" w:space="0" w:color="auto"/>
        <w:left w:val="none" w:sz="0" w:space="0" w:color="auto"/>
        <w:bottom w:val="none" w:sz="0" w:space="0" w:color="auto"/>
        <w:right w:val="none" w:sz="0" w:space="0" w:color="auto"/>
      </w:divBdr>
    </w:div>
    <w:div w:id="931088213">
      <w:bodyDiv w:val="1"/>
      <w:marLeft w:val="0"/>
      <w:marRight w:val="0"/>
      <w:marTop w:val="0"/>
      <w:marBottom w:val="0"/>
      <w:divBdr>
        <w:top w:val="none" w:sz="0" w:space="0" w:color="auto"/>
        <w:left w:val="none" w:sz="0" w:space="0" w:color="auto"/>
        <w:bottom w:val="none" w:sz="0" w:space="0" w:color="auto"/>
        <w:right w:val="none" w:sz="0" w:space="0" w:color="auto"/>
      </w:divBdr>
    </w:div>
    <w:div w:id="977106175">
      <w:bodyDiv w:val="1"/>
      <w:marLeft w:val="0"/>
      <w:marRight w:val="0"/>
      <w:marTop w:val="0"/>
      <w:marBottom w:val="0"/>
      <w:divBdr>
        <w:top w:val="none" w:sz="0" w:space="0" w:color="auto"/>
        <w:left w:val="none" w:sz="0" w:space="0" w:color="auto"/>
        <w:bottom w:val="none" w:sz="0" w:space="0" w:color="auto"/>
        <w:right w:val="none" w:sz="0" w:space="0" w:color="auto"/>
      </w:divBdr>
    </w:div>
    <w:div w:id="991759078">
      <w:bodyDiv w:val="1"/>
      <w:marLeft w:val="0"/>
      <w:marRight w:val="0"/>
      <w:marTop w:val="0"/>
      <w:marBottom w:val="0"/>
      <w:divBdr>
        <w:top w:val="none" w:sz="0" w:space="0" w:color="auto"/>
        <w:left w:val="none" w:sz="0" w:space="0" w:color="auto"/>
        <w:bottom w:val="none" w:sz="0" w:space="0" w:color="auto"/>
        <w:right w:val="none" w:sz="0" w:space="0" w:color="auto"/>
      </w:divBdr>
    </w:div>
    <w:div w:id="997851724">
      <w:bodyDiv w:val="1"/>
      <w:marLeft w:val="0"/>
      <w:marRight w:val="0"/>
      <w:marTop w:val="0"/>
      <w:marBottom w:val="0"/>
      <w:divBdr>
        <w:top w:val="none" w:sz="0" w:space="0" w:color="auto"/>
        <w:left w:val="none" w:sz="0" w:space="0" w:color="auto"/>
        <w:bottom w:val="none" w:sz="0" w:space="0" w:color="auto"/>
        <w:right w:val="none" w:sz="0" w:space="0" w:color="auto"/>
      </w:divBdr>
    </w:div>
    <w:div w:id="1007908272">
      <w:bodyDiv w:val="1"/>
      <w:marLeft w:val="0"/>
      <w:marRight w:val="0"/>
      <w:marTop w:val="0"/>
      <w:marBottom w:val="0"/>
      <w:divBdr>
        <w:top w:val="none" w:sz="0" w:space="0" w:color="auto"/>
        <w:left w:val="none" w:sz="0" w:space="0" w:color="auto"/>
        <w:bottom w:val="none" w:sz="0" w:space="0" w:color="auto"/>
        <w:right w:val="none" w:sz="0" w:space="0" w:color="auto"/>
      </w:divBdr>
    </w:div>
    <w:div w:id="1012995558">
      <w:bodyDiv w:val="1"/>
      <w:marLeft w:val="0"/>
      <w:marRight w:val="0"/>
      <w:marTop w:val="0"/>
      <w:marBottom w:val="0"/>
      <w:divBdr>
        <w:top w:val="none" w:sz="0" w:space="0" w:color="auto"/>
        <w:left w:val="none" w:sz="0" w:space="0" w:color="auto"/>
        <w:bottom w:val="none" w:sz="0" w:space="0" w:color="auto"/>
        <w:right w:val="none" w:sz="0" w:space="0" w:color="auto"/>
      </w:divBdr>
    </w:div>
    <w:div w:id="1020670129">
      <w:bodyDiv w:val="1"/>
      <w:marLeft w:val="0"/>
      <w:marRight w:val="0"/>
      <w:marTop w:val="0"/>
      <w:marBottom w:val="0"/>
      <w:divBdr>
        <w:top w:val="none" w:sz="0" w:space="0" w:color="auto"/>
        <w:left w:val="none" w:sz="0" w:space="0" w:color="auto"/>
        <w:bottom w:val="none" w:sz="0" w:space="0" w:color="auto"/>
        <w:right w:val="none" w:sz="0" w:space="0" w:color="auto"/>
      </w:divBdr>
    </w:div>
    <w:div w:id="1044403689">
      <w:bodyDiv w:val="1"/>
      <w:marLeft w:val="0"/>
      <w:marRight w:val="0"/>
      <w:marTop w:val="0"/>
      <w:marBottom w:val="0"/>
      <w:divBdr>
        <w:top w:val="none" w:sz="0" w:space="0" w:color="auto"/>
        <w:left w:val="none" w:sz="0" w:space="0" w:color="auto"/>
        <w:bottom w:val="none" w:sz="0" w:space="0" w:color="auto"/>
        <w:right w:val="none" w:sz="0" w:space="0" w:color="auto"/>
      </w:divBdr>
    </w:div>
    <w:div w:id="1064990145">
      <w:bodyDiv w:val="1"/>
      <w:marLeft w:val="0"/>
      <w:marRight w:val="0"/>
      <w:marTop w:val="0"/>
      <w:marBottom w:val="0"/>
      <w:divBdr>
        <w:top w:val="none" w:sz="0" w:space="0" w:color="auto"/>
        <w:left w:val="none" w:sz="0" w:space="0" w:color="auto"/>
        <w:bottom w:val="none" w:sz="0" w:space="0" w:color="auto"/>
        <w:right w:val="none" w:sz="0" w:space="0" w:color="auto"/>
      </w:divBdr>
    </w:div>
    <w:div w:id="1070155085">
      <w:bodyDiv w:val="1"/>
      <w:marLeft w:val="0"/>
      <w:marRight w:val="0"/>
      <w:marTop w:val="0"/>
      <w:marBottom w:val="0"/>
      <w:divBdr>
        <w:top w:val="none" w:sz="0" w:space="0" w:color="auto"/>
        <w:left w:val="none" w:sz="0" w:space="0" w:color="auto"/>
        <w:bottom w:val="none" w:sz="0" w:space="0" w:color="auto"/>
        <w:right w:val="none" w:sz="0" w:space="0" w:color="auto"/>
      </w:divBdr>
    </w:div>
    <w:div w:id="1077557515">
      <w:bodyDiv w:val="1"/>
      <w:marLeft w:val="0"/>
      <w:marRight w:val="0"/>
      <w:marTop w:val="0"/>
      <w:marBottom w:val="0"/>
      <w:divBdr>
        <w:top w:val="none" w:sz="0" w:space="0" w:color="auto"/>
        <w:left w:val="none" w:sz="0" w:space="0" w:color="auto"/>
        <w:bottom w:val="none" w:sz="0" w:space="0" w:color="auto"/>
        <w:right w:val="none" w:sz="0" w:space="0" w:color="auto"/>
      </w:divBdr>
    </w:div>
    <w:div w:id="1078017080">
      <w:bodyDiv w:val="1"/>
      <w:marLeft w:val="0"/>
      <w:marRight w:val="0"/>
      <w:marTop w:val="0"/>
      <w:marBottom w:val="0"/>
      <w:divBdr>
        <w:top w:val="none" w:sz="0" w:space="0" w:color="auto"/>
        <w:left w:val="none" w:sz="0" w:space="0" w:color="auto"/>
        <w:bottom w:val="none" w:sz="0" w:space="0" w:color="auto"/>
        <w:right w:val="none" w:sz="0" w:space="0" w:color="auto"/>
      </w:divBdr>
    </w:div>
    <w:div w:id="1087650754">
      <w:bodyDiv w:val="1"/>
      <w:marLeft w:val="0"/>
      <w:marRight w:val="0"/>
      <w:marTop w:val="0"/>
      <w:marBottom w:val="0"/>
      <w:divBdr>
        <w:top w:val="none" w:sz="0" w:space="0" w:color="auto"/>
        <w:left w:val="none" w:sz="0" w:space="0" w:color="auto"/>
        <w:bottom w:val="none" w:sz="0" w:space="0" w:color="auto"/>
        <w:right w:val="none" w:sz="0" w:space="0" w:color="auto"/>
      </w:divBdr>
    </w:div>
    <w:div w:id="1089502682">
      <w:bodyDiv w:val="1"/>
      <w:marLeft w:val="0"/>
      <w:marRight w:val="0"/>
      <w:marTop w:val="0"/>
      <w:marBottom w:val="0"/>
      <w:divBdr>
        <w:top w:val="none" w:sz="0" w:space="0" w:color="auto"/>
        <w:left w:val="none" w:sz="0" w:space="0" w:color="auto"/>
        <w:bottom w:val="none" w:sz="0" w:space="0" w:color="auto"/>
        <w:right w:val="none" w:sz="0" w:space="0" w:color="auto"/>
      </w:divBdr>
    </w:div>
    <w:div w:id="1110130578">
      <w:bodyDiv w:val="1"/>
      <w:marLeft w:val="0"/>
      <w:marRight w:val="0"/>
      <w:marTop w:val="0"/>
      <w:marBottom w:val="0"/>
      <w:divBdr>
        <w:top w:val="none" w:sz="0" w:space="0" w:color="auto"/>
        <w:left w:val="none" w:sz="0" w:space="0" w:color="auto"/>
        <w:bottom w:val="none" w:sz="0" w:space="0" w:color="auto"/>
        <w:right w:val="none" w:sz="0" w:space="0" w:color="auto"/>
      </w:divBdr>
    </w:div>
    <w:div w:id="1112625771">
      <w:bodyDiv w:val="1"/>
      <w:marLeft w:val="0"/>
      <w:marRight w:val="0"/>
      <w:marTop w:val="0"/>
      <w:marBottom w:val="0"/>
      <w:divBdr>
        <w:top w:val="none" w:sz="0" w:space="0" w:color="auto"/>
        <w:left w:val="none" w:sz="0" w:space="0" w:color="auto"/>
        <w:bottom w:val="none" w:sz="0" w:space="0" w:color="auto"/>
        <w:right w:val="none" w:sz="0" w:space="0" w:color="auto"/>
      </w:divBdr>
    </w:div>
    <w:div w:id="1118570581">
      <w:bodyDiv w:val="1"/>
      <w:marLeft w:val="0"/>
      <w:marRight w:val="0"/>
      <w:marTop w:val="0"/>
      <w:marBottom w:val="0"/>
      <w:divBdr>
        <w:top w:val="none" w:sz="0" w:space="0" w:color="auto"/>
        <w:left w:val="none" w:sz="0" w:space="0" w:color="auto"/>
        <w:bottom w:val="none" w:sz="0" w:space="0" w:color="auto"/>
        <w:right w:val="none" w:sz="0" w:space="0" w:color="auto"/>
      </w:divBdr>
    </w:div>
    <w:div w:id="1139418517">
      <w:bodyDiv w:val="1"/>
      <w:marLeft w:val="0"/>
      <w:marRight w:val="0"/>
      <w:marTop w:val="0"/>
      <w:marBottom w:val="0"/>
      <w:divBdr>
        <w:top w:val="none" w:sz="0" w:space="0" w:color="auto"/>
        <w:left w:val="none" w:sz="0" w:space="0" w:color="auto"/>
        <w:bottom w:val="none" w:sz="0" w:space="0" w:color="auto"/>
        <w:right w:val="none" w:sz="0" w:space="0" w:color="auto"/>
      </w:divBdr>
    </w:div>
    <w:div w:id="1162694675">
      <w:bodyDiv w:val="1"/>
      <w:marLeft w:val="0"/>
      <w:marRight w:val="0"/>
      <w:marTop w:val="0"/>
      <w:marBottom w:val="0"/>
      <w:divBdr>
        <w:top w:val="none" w:sz="0" w:space="0" w:color="auto"/>
        <w:left w:val="none" w:sz="0" w:space="0" w:color="auto"/>
        <w:bottom w:val="none" w:sz="0" w:space="0" w:color="auto"/>
        <w:right w:val="none" w:sz="0" w:space="0" w:color="auto"/>
      </w:divBdr>
    </w:div>
    <w:div w:id="1164783988">
      <w:bodyDiv w:val="1"/>
      <w:marLeft w:val="0"/>
      <w:marRight w:val="0"/>
      <w:marTop w:val="0"/>
      <w:marBottom w:val="0"/>
      <w:divBdr>
        <w:top w:val="none" w:sz="0" w:space="0" w:color="auto"/>
        <w:left w:val="none" w:sz="0" w:space="0" w:color="auto"/>
        <w:bottom w:val="none" w:sz="0" w:space="0" w:color="auto"/>
        <w:right w:val="none" w:sz="0" w:space="0" w:color="auto"/>
      </w:divBdr>
    </w:div>
    <w:div w:id="1187258426">
      <w:bodyDiv w:val="1"/>
      <w:marLeft w:val="0"/>
      <w:marRight w:val="0"/>
      <w:marTop w:val="0"/>
      <w:marBottom w:val="0"/>
      <w:divBdr>
        <w:top w:val="none" w:sz="0" w:space="0" w:color="auto"/>
        <w:left w:val="none" w:sz="0" w:space="0" w:color="auto"/>
        <w:bottom w:val="none" w:sz="0" w:space="0" w:color="auto"/>
        <w:right w:val="none" w:sz="0" w:space="0" w:color="auto"/>
      </w:divBdr>
    </w:div>
    <w:div w:id="1191725317">
      <w:bodyDiv w:val="1"/>
      <w:marLeft w:val="0"/>
      <w:marRight w:val="0"/>
      <w:marTop w:val="0"/>
      <w:marBottom w:val="0"/>
      <w:divBdr>
        <w:top w:val="none" w:sz="0" w:space="0" w:color="auto"/>
        <w:left w:val="none" w:sz="0" w:space="0" w:color="auto"/>
        <w:bottom w:val="none" w:sz="0" w:space="0" w:color="auto"/>
        <w:right w:val="none" w:sz="0" w:space="0" w:color="auto"/>
      </w:divBdr>
    </w:div>
    <w:div w:id="1217660802">
      <w:bodyDiv w:val="1"/>
      <w:marLeft w:val="0"/>
      <w:marRight w:val="0"/>
      <w:marTop w:val="0"/>
      <w:marBottom w:val="0"/>
      <w:divBdr>
        <w:top w:val="none" w:sz="0" w:space="0" w:color="auto"/>
        <w:left w:val="none" w:sz="0" w:space="0" w:color="auto"/>
        <w:bottom w:val="none" w:sz="0" w:space="0" w:color="auto"/>
        <w:right w:val="none" w:sz="0" w:space="0" w:color="auto"/>
      </w:divBdr>
    </w:div>
    <w:div w:id="1220090631">
      <w:bodyDiv w:val="1"/>
      <w:marLeft w:val="0"/>
      <w:marRight w:val="0"/>
      <w:marTop w:val="0"/>
      <w:marBottom w:val="0"/>
      <w:divBdr>
        <w:top w:val="none" w:sz="0" w:space="0" w:color="auto"/>
        <w:left w:val="none" w:sz="0" w:space="0" w:color="auto"/>
        <w:bottom w:val="none" w:sz="0" w:space="0" w:color="auto"/>
        <w:right w:val="none" w:sz="0" w:space="0" w:color="auto"/>
      </w:divBdr>
    </w:div>
    <w:div w:id="1224294111">
      <w:bodyDiv w:val="1"/>
      <w:marLeft w:val="0"/>
      <w:marRight w:val="0"/>
      <w:marTop w:val="0"/>
      <w:marBottom w:val="0"/>
      <w:divBdr>
        <w:top w:val="none" w:sz="0" w:space="0" w:color="auto"/>
        <w:left w:val="none" w:sz="0" w:space="0" w:color="auto"/>
        <w:bottom w:val="none" w:sz="0" w:space="0" w:color="auto"/>
        <w:right w:val="none" w:sz="0" w:space="0" w:color="auto"/>
      </w:divBdr>
    </w:div>
    <w:div w:id="1226331376">
      <w:bodyDiv w:val="1"/>
      <w:marLeft w:val="0"/>
      <w:marRight w:val="0"/>
      <w:marTop w:val="0"/>
      <w:marBottom w:val="0"/>
      <w:divBdr>
        <w:top w:val="none" w:sz="0" w:space="0" w:color="auto"/>
        <w:left w:val="none" w:sz="0" w:space="0" w:color="auto"/>
        <w:bottom w:val="none" w:sz="0" w:space="0" w:color="auto"/>
        <w:right w:val="none" w:sz="0" w:space="0" w:color="auto"/>
      </w:divBdr>
    </w:div>
    <w:div w:id="1267422497">
      <w:bodyDiv w:val="1"/>
      <w:marLeft w:val="0"/>
      <w:marRight w:val="0"/>
      <w:marTop w:val="0"/>
      <w:marBottom w:val="0"/>
      <w:divBdr>
        <w:top w:val="none" w:sz="0" w:space="0" w:color="auto"/>
        <w:left w:val="none" w:sz="0" w:space="0" w:color="auto"/>
        <w:bottom w:val="none" w:sz="0" w:space="0" w:color="auto"/>
        <w:right w:val="none" w:sz="0" w:space="0" w:color="auto"/>
      </w:divBdr>
    </w:div>
    <w:div w:id="1287812327">
      <w:bodyDiv w:val="1"/>
      <w:marLeft w:val="0"/>
      <w:marRight w:val="0"/>
      <w:marTop w:val="0"/>
      <w:marBottom w:val="0"/>
      <w:divBdr>
        <w:top w:val="none" w:sz="0" w:space="0" w:color="auto"/>
        <w:left w:val="none" w:sz="0" w:space="0" w:color="auto"/>
        <w:bottom w:val="none" w:sz="0" w:space="0" w:color="auto"/>
        <w:right w:val="none" w:sz="0" w:space="0" w:color="auto"/>
      </w:divBdr>
    </w:div>
    <w:div w:id="1288244316">
      <w:bodyDiv w:val="1"/>
      <w:marLeft w:val="0"/>
      <w:marRight w:val="0"/>
      <w:marTop w:val="0"/>
      <w:marBottom w:val="0"/>
      <w:divBdr>
        <w:top w:val="none" w:sz="0" w:space="0" w:color="auto"/>
        <w:left w:val="none" w:sz="0" w:space="0" w:color="auto"/>
        <w:bottom w:val="none" w:sz="0" w:space="0" w:color="auto"/>
        <w:right w:val="none" w:sz="0" w:space="0" w:color="auto"/>
      </w:divBdr>
    </w:div>
    <w:div w:id="1310985331">
      <w:bodyDiv w:val="1"/>
      <w:marLeft w:val="0"/>
      <w:marRight w:val="0"/>
      <w:marTop w:val="0"/>
      <w:marBottom w:val="0"/>
      <w:divBdr>
        <w:top w:val="none" w:sz="0" w:space="0" w:color="auto"/>
        <w:left w:val="none" w:sz="0" w:space="0" w:color="auto"/>
        <w:bottom w:val="none" w:sz="0" w:space="0" w:color="auto"/>
        <w:right w:val="none" w:sz="0" w:space="0" w:color="auto"/>
      </w:divBdr>
    </w:div>
    <w:div w:id="1317605759">
      <w:bodyDiv w:val="1"/>
      <w:marLeft w:val="0"/>
      <w:marRight w:val="0"/>
      <w:marTop w:val="0"/>
      <w:marBottom w:val="0"/>
      <w:divBdr>
        <w:top w:val="none" w:sz="0" w:space="0" w:color="auto"/>
        <w:left w:val="none" w:sz="0" w:space="0" w:color="auto"/>
        <w:bottom w:val="none" w:sz="0" w:space="0" w:color="auto"/>
        <w:right w:val="none" w:sz="0" w:space="0" w:color="auto"/>
      </w:divBdr>
    </w:div>
    <w:div w:id="1317607448">
      <w:bodyDiv w:val="1"/>
      <w:marLeft w:val="0"/>
      <w:marRight w:val="0"/>
      <w:marTop w:val="0"/>
      <w:marBottom w:val="0"/>
      <w:divBdr>
        <w:top w:val="none" w:sz="0" w:space="0" w:color="auto"/>
        <w:left w:val="none" w:sz="0" w:space="0" w:color="auto"/>
        <w:bottom w:val="none" w:sz="0" w:space="0" w:color="auto"/>
        <w:right w:val="none" w:sz="0" w:space="0" w:color="auto"/>
      </w:divBdr>
    </w:div>
    <w:div w:id="1323005328">
      <w:bodyDiv w:val="1"/>
      <w:marLeft w:val="0"/>
      <w:marRight w:val="0"/>
      <w:marTop w:val="0"/>
      <w:marBottom w:val="0"/>
      <w:divBdr>
        <w:top w:val="none" w:sz="0" w:space="0" w:color="auto"/>
        <w:left w:val="none" w:sz="0" w:space="0" w:color="auto"/>
        <w:bottom w:val="none" w:sz="0" w:space="0" w:color="auto"/>
        <w:right w:val="none" w:sz="0" w:space="0" w:color="auto"/>
      </w:divBdr>
    </w:div>
    <w:div w:id="1355763804">
      <w:bodyDiv w:val="1"/>
      <w:marLeft w:val="0"/>
      <w:marRight w:val="0"/>
      <w:marTop w:val="0"/>
      <w:marBottom w:val="0"/>
      <w:divBdr>
        <w:top w:val="none" w:sz="0" w:space="0" w:color="auto"/>
        <w:left w:val="none" w:sz="0" w:space="0" w:color="auto"/>
        <w:bottom w:val="none" w:sz="0" w:space="0" w:color="auto"/>
        <w:right w:val="none" w:sz="0" w:space="0" w:color="auto"/>
      </w:divBdr>
    </w:div>
    <w:div w:id="1359356895">
      <w:bodyDiv w:val="1"/>
      <w:marLeft w:val="0"/>
      <w:marRight w:val="0"/>
      <w:marTop w:val="0"/>
      <w:marBottom w:val="0"/>
      <w:divBdr>
        <w:top w:val="none" w:sz="0" w:space="0" w:color="auto"/>
        <w:left w:val="none" w:sz="0" w:space="0" w:color="auto"/>
        <w:bottom w:val="none" w:sz="0" w:space="0" w:color="auto"/>
        <w:right w:val="none" w:sz="0" w:space="0" w:color="auto"/>
      </w:divBdr>
    </w:div>
    <w:div w:id="1359576975">
      <w:bodyDiv w:val="1"/>
      <w:marLeft w:val="0"/>
      <w:marRight w:val="0"/>
      <w:marTop w:val="0"/>
      <w:marBottom w:val="0"/>
      <w:divBdr>
        <w:top w:val="none" w:sz="0" w:space="0" w:color="auto"/>
        <w:left w:val="none" w:sz="0" w:space="0" w:color="auto"/>
        <w:bottom w:val="none" w:sz="0" w:space="0" w:color="auto"/>
        <w:right w:val="none" w:sz="0" w:space="0" w:color="auto"/>
      </w:divBdr>
    </w:div>
    <w:div w:id="1375884329">
      <w:bodyDiv w:val="1"/>
      <w:marLeft w:val="0"/>
      <w:marRight w:val="0"/>
      <w:marTop w:val="0"/>
      <w:marBottom w:val="0"/>
      <w:divBdr>
        <w:top w:val="none" w:sz="0" w:space="0" w:color="auto"/>
        <w:left w:val="none" w:sz="0" w:space="0" w:color="auto"/>
        <w:bottom w:val="none" w:sz="0" w:space="0" w:color="auto"/>
        <w:right w:val="none" w:sz="0" w:space="0" w:color="auto"/>
      </w:divBdr>
    </w:div>
    <w:div w:id="1379742293">
      <w:bodyDiv w:val="1"/>
      <w:marLeft w:val="0"/>
      <w:marRight w:val="0"/>
      <w:marTop w:val="0"/>
      <w:marBottom w:val="0"/>
      <w:divBdr>
        <w:top w:val="none" w:sz="0" w:space="0" w:color="auto"/>
        <w:left w:val="none" w:sz="0" w:space="0" w:color="auto"/>
        <w:bottom w:val="none" w:sz="0" w:space="0" w:color="auto"/>
        <w:right w:val="none" w:sz="0" w:space="0" w:color="auto"/>
      </w:divBdr>
    </w:div>
    <w:div w:id="1403865251">
      <w:bodyDiv w:val="1"/>
      <w:marLeft w:val="0"/>
      <w:marRight w:val="0"/>
      <w:marTop w:val="0"/>
      <w:marBottom w:val="0"/>
      <w:divBdr>
        <w:top w:val="none" w:sz="0" w:space="0" w:color="auto"/>
        <w:left w:val="none" w:sz="0" w:space="0" w:color="auto"/>
        <w:bottom w:val="none" w:sz="0" w:space="0" w:color="auto"/>
        <w:right w:val="none" w:sz="0" w:space="0" w:color="auto"/>
      </w:divBdr>
    </w:div>
    <w:div w:id="1431775135">
      <w:bodyDiv w:val="1"/>
      <w:marLeft w:val="0"/>
      <w:marRight w:val="0"/>
      <w:marTop w:val="0"/>
      <w:marBottom w:val="0"/>
      <w:divBdr>
        <w:top w:val="none" w:sz="0" w:space="0" w:color="auto"/>
        <w:left w:val="none" w:sz="0" w:space="0" w:color="auto"/>
        <w:bottom w:val="none" w:sz="0" w:space="0" w:color="auto"/>
        <w:right w:val="none" w:sz="0" w:space="0" w:color="auto"/>
      </w:divBdr>
    </w:div>
    <w:div w:id="1454865170">
      <w:bodyDiv w:val="1"/>
      <w:marLeft w:val="0"/>
      <w:marRight w:val="0"/>
      <w:marTop w:val="0"/>
      <w:marBottom w:val="0"/>
      <w:divBdr>
        <w:top w:val="none" w:sz="0" w:space="0" w:color="auto"/>
        <w:left w:val="none" w:sz="0" w:space="0" w:color="auto"/>
        <w:bottom w:val="none" w:sz="0" w:space="0" w:color="auto"/>
        <w:right w:val="none" w:sz="0" w:space="0" w:color="auto"/>
      </w:divBdr>
    </w:div>
    <w:div w:id="1461531726">
      <w:bodyDiv w:val="1"/>
      <w:marLeft w:val="0"/>
      <w:marRight w:val="0"/>
      <w:marTop w:val="0"/>
      <w:marBottom w:val="0"/>
      <w:divBdr>
        <w:top w:val="none" w:sz="0" w:space="0" w:color="auto"/>
        <w:left w:val="none" w:sz="0" w:space="0" w:color="auto"/>
        <w:bottom w:val="none" w:sz="0" w:space="0" w:color="auto"/>
        <w:right w:val="none" w:sz="0" w:space="0" w:color="auto"/>
      </w:divBdr>
    </w:div>
    <w:div w:id="1465658516">
      <w:bodyDiv w:val="1"/>
      <w:marLeft w:val="0"/>
      <w:marRight w:val="0"/>
      <w:marTop w:val="0"/>
      <w:marBottom w:val="0"/>
      <w:divBdr>
        <w:top w:val="none" w:sz="0" w:space="0" w:color="auto"/>
        <w:left w:val="none" w:sz="0" w:space="0" w:color="auto"/>
        <w:bottom w:val="none" w:sz="0" w:space="0" w:color="auto"/>
        <w:right w:val="none" w:sz="0" w:space="0" w:color="auto"/>
      </w:divBdr>
    </w:div>
    <w:div w:id="1468619671">
      <w:bodyDiv w:val="1"/>
      <w:marLeft w:val="0"/>
      <w:marRight w:val="0"/>
      <w:marTop w:val="0"/>
      <w:marBottom w:val="0"/>
      <w:divBdr>
        <w:top w:val="none" w:sz="0" w:space="0" w:color="auto"/>
        <w:left w:val="none" w:sz="0" w:space="0" w:color="auto"/>
        <w:bottom w:val="none" w:sz="0" w:space="0" w:color="auto"/>
        <w:right w:val="none" w:sz="0" w:space="0" w:color="auto"/>
      </w:divBdr>
    </w:div>
    <w:div w:id="1479540909">
      <w:bodyDiv w:val="1"/>
      <w:marLeft w:val="0"/>
      <w:marRight w:val="0"/>
      <w:marTop w:val="0"/>
      <w:marBottom w:val="0"/>
      <w:divBdr>
        <w:top w:val="none" w:sz="0" w:space="0" w:color="auto"/>
        <w:left w:val="none" w:sz="0" w:space="0" w:color="auto"/>
        <w:bottom w:val="none" w:sz="0" w:space="0" w:color="auto"/>
        <w:right w:val="none" w:sz="0" w:space="0" w:color="auto"/>
      </w:divBdr>
    </w:div>
    <w:div w:id="1493764073">
      <w:bodyDiv w:val="1"/>
      <w:marLeft w:val="0"/>
      <w:marRight w:val="0"/>
      <w:marTop w:val="0"/>
      <w:marBottom w:val="0"/>
      <w:divBdr>
        <w:top w:val="none" w:sz="0" w:space="0" w:color="auto"/>
        <w:left w:val="none" w:sz="0" w:space="0" w:color="auto"/>
        <w:bottom w:val="none" w:sz="0" w:space="0" w:color="auto"/>
        <w:right w:val="none" w:sz="0" w:space="0" w:color="auto"/>
      </w:divBdr>
    </w:div>
    <w:div w:id="1511406086">
      <w:bodyDiv w:val="1"/>
      <w:marLeft w:val="0"/>
      <w:marRight w:val="0"/>
      <w:marTop w:val="0"/>
      <w:marBottom w:val="0"/>
      <w:divBdr>
        <w:top w:val="none" w:sz="0" w:space="0" w:color="auto"/>
        <w:left w:val="none" w:sz="0" w:space="0" w:color="auto"/>
        <w:bottom w:val="none" w:sz="0" w:space="0" w:color="auto"/>
        <w:right w:val="none" w:sz="0" w:space="0" w:color="auto"/>
      </w:divBdr>
    </w:div>
    <w:div w:id="1511602515">
      <w:bodyDiv w:val="1"/>
      <w:marLeft w:val="0"/>
      <w:marRight w:val="0"/>
      <w:marTop w:val="0"/>
      <w:marBottom w:val="0"/>
      <w:divBdr>
        <w:top w:val="none" w:sz="0" w:space="0" w:color="auto"/>
        <w:left w:val="none" w:sz="0" w:space="0" w:color="auto"/>
        <w:bottom w:val="none" w:sz="0" w:space="0" w:color="auto"/>
        <w:right w:val="none" w:sz="0" w:space="0" w:color="auto"/>
      </w:divBdr>
    </w:div>
    <w:div w:id="1526599203">
      <w:bodyDiv w:val="1"/>
      <w:marLeft w:val="0"/>
      <w:marRight w:val="0"/>
      <w:marTop w:val="0"/>
      <w:marBottom w:val="0"/>
      <w:divBdr>
        <w:top w:val="none" w:sz="0" w:space="0" w:color="auto"/>
        <w:left w:val="none" w:sz="0" w:space="0" w:color="auto"/>
        <w:bottom w:val="none" w:sz="0" w:space="0" w:color="auto"/>
        <w:right w:val="none" w:sz="0" w:space="0" w:color="auto"/>
      </w:divBdr>
    </w:div>
    <w:div w:id="1546141334">
      <w:bodyDiv w:val="1"/>
      <w:marLeft w:val="0"/>
      <w:marRight w:val="0"/>
      <w:marTop w:val="0"/>
      <w:marBottom w:val="0"/>
      <w:divBdr>
        <w:top w:val="none" w:sz="0" w:space="0" w:color="auto"/>
        <w:left w:val="none" w:sz="0" w:space="0" w:color="auto"/>
        <w:bottom w:val="none" w:sz="0" w:space="0" w:color="auto"/>
        <w:right w:val="none" w:sz="0" w:space="0" w:color="auto"/>
      </w:divBdr>
    </w:div>
    <w:div w:id="1596674016">
      <w:bodyDiv w:val="1"/>
      <w:marLeft w:val="0"/>
      <w:marRight w:val="0"/>
      <w:marTop w:val="0"/>
      <w:marBottom w:val="0"/>
      <w:divBdr>
        <w:top w:val="none" w:sz="0" w:space="0" w:color="auto"/>
        <w:left w:val="none" w:sz="0" w:space="0" w:color="auto"/>
        <w:bottom w:val="none" w:sz="0" w:space="0" w:color="auto"/>
        <w:right w:val="none" w:sz="0" w:space="0" w:color="auto"/>
      </w:divBdr>
    </w:div>
    <w:div w:id="1605262531">
      <w:bodyDiv w:val="1"/>
      <w:marLeft w:val="0"/>
      <w:marRight w:val="0"/>
      <w:marTop w:val="0"/>
      <w:marBottom w:val="0"/>
      <w:divBdr>
        <w:top w:val="none" w:sz="0" w:space="0" w:color="auto"/>
        <w:left w:val="none" w:sz="0" w:space="0" w:color="auto"/>
        <w:bottom w:val="none" w:sz="0" w:space="0" w:color="auto"/>
        <w:right w:val="none" w:sz="0" w:space="0" w:color="auto"/>
      </w:divBdr>
    </w:div>
    <w:div w:id="1610818212">
      <w:bodyDiv w:val="1"/>
      <w:marLeft w:val="0"/>
      <w:marRight w:val="0"/>
      <w:marTop w:val="0"/>
      <w:marBottom w:val="0"/>
      <w:divBdr>
        <w:top w:val="none" w:sz="0" w:space="0" w:color="auto"/>
        <w:left w:val="none" w:sz="0" w:space="0" w:color="auto"/>
        <w:bottom w:val="none" w:sz="0" w:space="0" w:color="auto"/>
        <w:right w:val="none" w:sz="0" w:space="0" w:color="auto"/>
      </w:divBdr>
    </w:div>
    <w:div w:id="1665161686">
      <w:bodyDiv w:val="1"/>
      <w:marLeft w:val="0"/>
      <w:marRight w:val="0"/>
      <w:marTop w:val="0"/>
      <w:marBottom w:val="0"/>
      <w:divBdr>
        <w:top w:val="none" w:sz="0" w:space="0" w:color="auto"/>
        <w:left w:val="none" w:sz="0" w:space="0" w:color="auto"/>
        <w:bottom w:val="none" w:sz="0" w:space="0" w:color="auto"/>
        <w:right w:val="none" w:sz="0" w:space="0" w:color="auto"/>
      </w:divBdr>
    </w:div>
    <w:div w:id="1672755863">
      <w:bodyDiv w:val="1"/>
      <w:marLeft w:val="0"/>
      <w:marRight w:val="0"/>
      <w:marTop w:val="0"/>
      <w:marBottom w:val="0"/>
      <w:divBdr>
        <w:top w:val="none" w:sz="0" w:space="0" w:color="auto"/>
        <w:left w:val="none" w:sz="0" w:space="0" w:color="auto"/>
        <w:bottom w:val="none" w:sz="0" w:space="0" w:color="auto"/>
        <w:right w:val="none" w:sz="0" w:space="0" w:color="auto"/>
      </w:divBdr>
    </w:div>
    <w:div w:id="1681815180">
      <w:bodyDiv w:val="1"/>
      <w:marLeft w:val="0"/>
      <w:marRight w:val="0"/>
      <w:marTop w:val="0"/>
      <w:marBottom w:val="0"/>
      <w:divBdr>
        <w:top w:val="none" w:sz="0" w:space="0" w:color="auto"/>
        <w:left w:val="none" w:sz="0" w:space="0" w:color="auto"/>
        <w:bottom w:val="none" w:sz="0" w:space="0" w:color="auto"/>
        <w:right w:val="none" w:sz="0" w:space="0" w:color="auto"/>
      </w:divBdr>
    </w:div>
    <w:div w:id="1687054755">
      <w:bodyDiv w:val="1"/>
      <w:marLeft w:val="0"/>
      <w:marRight w:val="0"/>
      <w:marTop w:val="0"/>
      <w:marBottom w:val="0"/>
      <w:divBdr>
        <w:top w:val="none" w:sz="0" w:space="0" w:color="auto"/>
        <w:left w:val="none" w:sz="0" w:space="0" w:color="auto"/>
        <w:bottom w:val="none" w:sz="0" w:space="0" w:color="auto"/>
        <w:right w:val="none" w:sz="0" w:space="0" w:color="auto"/>
      </w:divBdr>
    </w:div>
    <w:div w:id="1702196961">
      <w:bodyDiv w:val="1"/>
      <w:marLeft w:val="0"/>
      <w:marRight w:val="0"/>
      <w:marTop w:val="0"/>
      <w:marBottom w:val="0"/>
      <w:divBdr>
        <w:top w:val="none" w:sz="0" w:space="0" w:color="auto"/>
        <w:left w:val="none" w:sz="0" w:space="0" w:color="auto"/>
        <w:bottom w:val="none" w:sz="0" w:space="0" w:color="auto"/>
        <w:right w:val="none" w:sz="0" w:space="0" w:color="auto"/>
      </w:divBdr>
    </w:div>
    <w:div w:id="1702780287">
      <w:bodyDiv w:val="1"/>
      <w:marLeft w:val="0"/>
      <w:marRight w:val="0"/>
      <w:marTop w:val="0"/>
      <w:marBottom w:val="0"/>
      <w:divBdr>
        <w:top w:val="none" w:sz="0" w:space="0" w:color="auto"/>
        <w:left w:val="none" w:sz="0" w:space="0" w:color="auto"/>
        <w:bottom w:val="none" w:sz="0" w:space="0" w:color="auto"/>
        <w:right w:val="none" w:sz="0" w:space="0" w:color="auto"/>
      </w:divBdr>
    </w:div>
    <w:div w:id="1715234309">
      <w:bodyDiv w:val="1"/>
      <w:marLeft w:val="0"/>
      <w:marRight w:val="0"/>
      <w:marTop w:val="0"/>
      <w:marBottom w:val="0"/>
      <w:divBdr>
        <w:top w:val="none" w:sz="0" w:space="0" w:color="auto"/>
        <w:left w:val="none" w:sz="0" w:space="0" w:color="auto"/>
        <w:bottom w:val="none" w:sz="0" w:space="0" w:color="auto"/>
        <w:right w:val="none" w:sz="0" w:space="0" w:color="auto"/>
      </w:divBdr>
    </w:div>
    <w:div w:id="1717271707">
      <w:bodyDiv w:val="1"/>
      <w:marLeft w:val="0"/>
      <w:marRight w:val="0"/>
      <w:marTop w:val="0"/>
      <w:marBottom w:val="0"/>
      <w:divBdr>
        <w:top w:val="none" w:sz="0" w:space="0" w:color="auto"/>
        <w:left w:val="none" w:sz="0" w:space="0" w:color="auto"/>
        <w:bottom w:val="none" w:sz="0" w:space="0" w:color="auto"/>
        <w:right w:val="none" w:sz="0" w:space="0" w:color="auto"/>
      </w:divBdr>
    </w:div>
    <w:div w:id="1735813955">
      <w:bodyDiv w:val="1"/>
      <w:marLeft w:val="0"/>
      <w:marRight w:val="0"/>
      <w:marTop w:val="0"/>
      <w:marBottom w:val="0"/>
      <w:divBdr>
        <w:top w:val="none" w:sz="0" w:space="0" w:color="auto"/>
        <w:left w:val="none" w:sz="0" w:space="0" w:color="auto"/>
        <w:bottom w:val="none" w:sz="0" w:space="0" w:color="auto"/>
        <w:right w:val="none" w:sz="0" w:space="0" w:color="auto"/>
      </w:divBdr>
    </w:div>
    <w:div w:id="1744720118">
      <w:bodyDiv w:val="1"/>
      <w:marLeft w:val="0"/>
      <w:marRight w:val="0"/>
      <w:marTop w:val="0"/>
      <w:marBottom w:val="0"/>
      <w:divBdr>
        <w:top w:val="none" w:sz="0" w:space="0" w:color="auto"/>
        <w:left w:val="none" w:sz="0" w:space="0" w:color="auto"/>
        <w:bottom w:val="none" w:sz="0" w:space="0" w:color="auto"/>
        <w:right w:val="none" w:sz="0" w:space="0" w:color="auto"/>
      </w:divBdr>
    </w:div>
    <w:div w:id="1752971842">
      <w:bodyDiv w:val="1"/>
      <w:marLeft w:val="0"/>
      <w:marRight w:val="0"/>
      <w:marTop w:val="0"/>
      <w:marBottom w:val="0"/>
      <w:divBdr>
        <w:top w:val="none" w:sz="0" w:space="0" w:color="auto"/>
        <w:left w:val="none" w:sz="0" w:space="0" w:color="auto"/>
        <w:bottom w:val="none" w:sz="0" w:space="0" w:color="auto"/>
        <w:right w:val="none" w:sz="0" w:space="0" w:color="auto"/>
      </w:divBdr>
    </w:div>
    <w:div w:id="1764572285">
      <w:bodyDiv w:val="1"/>
      <w:marLeft w:val="0"/>
      <w:marRight w:val="0"/>
      <w:marTop w:val="0"/>
      <w:marBottom w:val="0"/>
      <w:divBdr>
        <w:top w:val="none" w:sz="0" w:space="0" w:color="auto"/>
        <w:left w:val="none" w:sz="0" w:space="0" w:color="auto"/>
        <w:bottom w:val="none" w:sz="0" w:space="0" w:color="auto"/>
        <w:right w:val="none" w:sz="0" w:space="0" w:color="auto"/>
      </w:divBdr>
    </w:div>
    <w:div w:id="1771192881">
      <w:bodyDiv w:val="1"/>
      <w:marLeft w:val="0"/>
      <w:marRight w:val="0"/>
      <w:marTop w:val="0"/>
      <w:marBottom w:val="0"/>
      <w:divBdr>
        <w:top w:val="none" w:sz="0" w:space="0" w:color="auto"/>
        <w:left w:val="none" w:sz="0" w:space="0" w:color="auto"/>
        <w:bottom w:val="none" w:sz="0" w:space="0" w:color="auto"/>
        <w:right w:val="none" w:sz="0" w:space="0" w:color="auto"/>
      </w:divBdr>
    </w:div>
    <w:div w:id="1829860038">
      <w:bodyDiv w:val="1"/>
      <w:marLeft w:val="0"/>
      <w:marRight w:val="0"/>
      <w:marTop w:val="0"/>
      <w:marBottom w:val="0"/>
      <w:divBdr>
        <w:top w:val="none" w:sz="0" w:space="0" w:color="auto"/>
        <w:left w:val="none" w:sz="0" w:space="0" w:color="auto"/>
        <w:bottom w:val="none" w:sz="0" w:space="0" w:color="auto"/>
        <w:right w:val="none" w:sz="0" w:space="0" w:color="auto"/>
      </w:divBdr>
    </w:div>
    <w:div w:id="1850218319">
      <w:bodyDiv w:val="1"/>
      <w:marLeft w:val="0"/>
      <w:marRight w:val="0"/>
      <w:marTop w:val="0"/>
      <w:marBottom w:val="0"/>
      <w:divBdr>
        <w:top w:val="none" w:sz="0" w:space="0" w:color="auto"/>
        <w:left w:val="none" w:sz="0" w:space="0" w:color="auto"/>
        <w:bottom w:val="none" w:sz="0" w:space="0" w:color="auto"/>
        <w:right w:val="none" w:sz="0" w:space="0" w:color="auto"/>
      </w:divBdr>
    </w:div>
    <w:div w:id="1859192942">
      <w:bodyDiv w:val="1"/>
      <w:marLeft w:val="0"/>
      <w:marRight w:val="0"/>
      <w:marTop w:val="0"/>
      <w:marBottom w:val="0"/>
      <w:divBdr>
        <w:top w:val="none" w:sz="0" w:space="0" w:color="auto"/>
        <w:left w:val="none" w:sz="0" w:space="0" w:color="auto"/>
        <w:bottom w:val="none" w:sz="0" w:space="0" w:color="auto"/>
        <w:right w:val="none" w:sz="0" w:space="0" w:color="auto"/>
      </w:divBdr>
    </w:div>
    <w:div w:id="1869676625">
      <w:bodyDiv w:val="1"/>
      <w:marLeft w:val="0"/>
      <w:marRight w:val="0"/>
      <w:marTop w:val="0"/>
      <w:marBottom w:val="0"/>
      <w:divBdr>
        <w:top w:val="none" w:sz="0" w:space="0" w:color="auto"/>
        <w:left w:val="none" w:sz="0" w:space="0" w:color="auto"/>
        <w:bottom w:val="none" w:sz="0" w:space="0" w:color="auto"/>
        <w:right w:val="none" w:sz="0" w:space="0" w:color="auto"/>
      </w:divBdr>
    </w:div>
    <w:div w:id="1934511415">
      <w:bodyDiv w:val="1"/>
      <w:marLeft w:val="0"/>
      <w:marRight w:val="0"/>
      <w:marTop w:val="0"/>
      <w:marBottom w:val="0"/>
      <w:divBdr>
        <w:top w:val="none" w:sz="0" w:space="0" w:color="auto"/>
        <w:left w:val="none" w:sz="0" w:space="0" w:color="auto"/>
        <w:bottom w:val="none" w:sz="0" w:space="0" w:color="auto"/>
        <w:right w:val="none" w:sz="0" w:space="0" w:color="auto"/>
      </w:divBdr>
    </w:div>
    <w:div w:id="1958759794">
      <w:bodyDiv w:val="1"/>
      <w:marLeft w:val="0"/>
      <w:marRight w:val="0"/>
      <w:marTop w:val="0"/>
      <w:marBottom w:val="0"/>
      <w:divBdr>
        <w:top w:val="none" w:sz="0" w:space="0" w:color="auto"/>
        <w:left w:val="none" w:sz="0" w:space="0" w:color="auto"/>
        <w:bottom w:val="none" w:sz="0" w:space="0" w:color="auto"/>
        <w:right w:val="none" w:sz="0" w:space="0" w:color="auto"/>
      </w:divBdr>
    </w:div>
    <w:div w:id="1959599482">
      <w:bodyDiv w:val="1"/>
      <w:marLeft w:val="0"/>
      <w:marRight w:val="0"/>
      <w:marTop w:val="0"/>
      <w:marBottom w:val="0"/>
      <w:divBdr>
        <w:top w:val="none" w:sz="0" w:space="0" w:color="auto"/>
        <w:left w:val="none" w:sz="0" w:space="0" w:color="auto"/>
        <w:bottom w:val="none" w:sz="0" w:space="0" w:color="auto"/>
        <w:right w:val="none" w:sz="0" w:space="0" w:color="auto"/>
      </w:divBdr>
    </w:div>
    <w:div w:id="1960720990">
      <w:bodyDiv w:val="1"/>
      <w:marLeft w:val="0"/>
      <w:marRight w:val="0"/>
      <w:marTop w:val="0"/>
      <w:marBottom w:val="0"/>
      <w:divBdr>
        <w:top w:val="none" w:sz="0" w:space="0" w:color="auto"/>
        <w:left w:val="none" w:sz="0" w:space="0" w:color="auto"/>
        <w:bottom w:val="none" w:sz="0" w:space="0" w:color="auto"/>
        <w:right w:val="none" w:sz="0" w:space="0" w:color="auto"/>
      </w:divBdr>
    </w:div>
    <w:div w:id="1971473356">
      <w:bodyDiv w:val="1"/>
      <w:marLeft w:val="0"/>
      <w:marRight w:val="0"/>
      <w:marTop w:val="0"/>
      <w:marBottom w:val="0"/>
      <w:divBdr>
        <w:top w:val="none" w:sz="0" w:space="0" w:color="auto"/>
        <w:left w:val="none" w:sz="0" w:space="0" w:color="auto"/>
        <w:bottom w:val="none" w:sz="0" w:space="0" w:color="auto"/>
        <w:right w:val="none" w:sz="0" w:space="0" w:color="auto"/>
      </w:divBdr>
    </w:div>
    <w:div w:id="1978879558">
      <w:bodyDiv w:val="1"/>
      <w:marLeft w:val="0"/>
      <w:marRight w:val="0"/>
      <w:marTop w:val="0"/>
      <w:marBottom w:val="0"/>
      <w:divBdr>
        <w:top w:val="none" w:sz="0" w:space="0" w:color="auto"/>
        <w:left w:val="none" w:sz="0" w:space="0" w:color="auto"/>
        <w:bottom w:val="none" w:sz="0" w:space="0" w:color="auto"/>
        <w:right w:val="none" w:sz="0" w:space="0" w:color="auto"/>
      </w:divBdr>
    </w:div>
    <w:div w:id="1984499236">
      <w:bodyDiv w:val="1"/>
      <w:marLeft w:val="0"/>
      <w:marRight w:val="0"/>
      <w:marTop w:val="0"/>
      <w:marBottom w:val="0"/>
      <w:divBdr>
        <w:top w:val="none" w:sz="0" w:space="0" w:color="auto"/>
        <w:left w:val="none" w:sz="0" w:space="0" w:color="auto"/>
        <w:bottom w:val="none" w:sz="0" w:space="0" w:color="auto"/>
        <w:right w:val="none" w:sz="0" w:space="0" w:color="auto"/>
      </w:divBdr>
    </w:div>
    <w:div w:id="1986856129">
      <w:bodyDiv w:val="1"/>
      <w:marLeft w:val="0"/>
      <w:marRight w:val="0"/>
      <w:marTop w:val="0"/>
      <w:marBottom w:val="0"/>
      <w:divBdr>
        <w:top w:val="none" w:sz="0" w:space="0" w:color="auto"/>
        <w:left w:val="none" w:sz="0" w:space="0" w:color="auto"/>
        <w:bottom w:val="none" w:sz="0" w:space="0" w:color="auto"/>
        <w:right w:val="none" w:sz="0" w:space="0" w:color="auto"/>
      </w:divBdr>
    </w:div>
    <w:div w:id="1990356064">
      <w:bodyDiv w:val="1"/>
      <w:marLeft w:val="0"/>
      <w:marRight w:val="0"/>
      <w:marTop w:val="0"/>
      <w:marBottom w:val="0"/>
      <w:divBdr>
        <w:top w:val="none" w:sz="0" w:space="0" w:color="auto"/>
        <w:left w:val="none" w:sz="0" w:space="0" w:color="auto"/>
        <w:bottom w:val="none" w:sz="0" w:space="0" w:color="auto"/>
        <w:right w:val="none" w:sz="0" w:space="0" w:color="auto"/>
      </w:divBdr>
    </w:div>
    <w:div w:id="2015565536">
      <w:bodyDiv w:val="1"/>
      <w:marLeft w:val="0"/>
      <w:marRight w:val="0"/>
      <w:marTop w:val="0"/>
      <w:marBottom w:val="0"/>
      <w:divBdr>
        <w:top w:val="none" w:sz="0" w:space="0" w:color="auto"/>
        <w:left w:val="none" w:sz="0" w:space="0" w:color="auto"/>
        <w:bottom w:val="none" w:sz="0" w:space="0" w:color="auto"/>
        <w:right w:val="none" w:sz="0" w:space="0" w:color="auto"/>
      </w:divBdr>
    </w:div>
    <w:div w:id="2034921041">
      <w:bodyDiv w:val="1"/>
      <w:marLeft w:val="0"/>
      <w:marRight w:val="0"/>
      <w:marTop w:val="0"/>
      <w:marBottom w:val="0"/>
      <w:divBdr>
        <w:top w:val="none" w:sz="0" w:space="0" w:color="auto"/>
        <w:left w:val="none" w:sz="0" w:space="0" w:color="auto"/>
        <w:bottom w:val="none" w:sz="0" w:space="0" w:color="auto"/>
        <w:right w:val="none" w:sz="0" w:space="0" w:color="auto"/>
      </w:divBdr>
    </w:div>
    <w:div w:id="2063480616">
      <w:bodyDiv w:val="1"/>
      <w:marLeft w:val="0"/>
      <w:marRight w:val="0"/>
      <w:marTop w:val="0"/>
      <w:marBottom w:val="0"/>
      <w:divBdr>
        <w:top w:val="none" w:sz="0" w:space="0" w:color="auto"/>
        <w:left w:val="none" w:sz="0" w:space="0" w:color="auto"/>
        <w:bottom w:val="none" w:sz="0" w:space="0" w:color="auto"/>
        <w:right w:val="none" w:sz="0" w:space="0" w:color="auto"/>
      </w:divBdr>
    </w:div>
    <w:div w:id="2067409087">
      <w:bodyDiv w:val="1"/>
      <w:marLeft w:val="0"/>
      <w:marRight w:val="0"/>
      <w:marTop w:val="0"/>
      <w:marBottom w:val="0"/>
      <w:divBdr>
        <w:top w:val="none" w:sz="0" w:space="0" w:color="auto"/>
        <w:left w:val="none" w:sz="0" w:space="0" w:color="auto"/>
        <w:bottom w:val="none" w:sz="0" w:space="0" w:color="auto"/>
        <w:right w:val="none" w:sz="0" w:space="0" w:color="auto"/>
      </w:divBdr>
    </w:div>
    <w:div w:id="2068869155">
      <w:bodyDiv w:val="1"/>
      <w:marLeft w:val="0"/>
      <w:marRight w:val="0"/>
      <w:marTop w:val="0"/>
      <w:marBottom w:val="0"/>
      <w:divBdr>
        <w:top w:val="none" w:sz="0" w:space="0" w:color="auto"/>
        <w:left w:val="none" w:sz="0" w:space="0" w:color="auto"/>
        <w:bottom w:val="none" w:sz="0" w:space="0" w:color="auto"/>
        <w:right w:val="none" w:sz="0" w:space="0" w:color="auto"/>
      </w:divBdr>
    </w:div>
    <w:div w:id="2115704422">
      <w:bodyDiv w:val="1"/>
      <w:marLeft w:val="0"/>
      <w:marRight w:val="0"/>
      <w:marTop w:val="0"/>
      <w:marBottom w:val="0"/>
      <w:divBdr>
        <w:top w:val="none" w:sz="0" w:space="0" w:color="auto"/>
        <w:left w:val="none" w:sz="0" w:space="0" w:color="auto"/>
        <w:bottom w:val="none" w:sz="0" w:space="0" w:color="auto"/>
        <w:right w:val="none" w:sz="0" w:space="0" w:color="auto"/>
      </w:divBdr>
    </w:div>
    <w:div w:id="212260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hyperlink" Target="https://cidades.ibge.gov.br/brasil/sc/taio/panorama" TargetMode="External"/><Relationship Id="rId63" Type="http://schemas.openxmlformats.org/officeDocument/2006/relationships/image" Target="media/image8.png"/><Relationship Id="rId6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hyperlink" Target="http://www.atlasbrasil.org.br/" TargetMode="External"/><Relationship Id="rId53" Type="http://schemas.openxmlformats.org/officeDocument/2006/relationships/image" Target="media/image3.jpeg"/><Relationship Id="rId58" Type="http://schemas.openxmlformats.org/officeDocument/2006/relationships/hyperlink" Target="https://turismo.taio.sc.gov.br/" TargetMode="External"/><Relationship Id="rId66" Type="http://schemas.openxmlformats.org/officeDocument/2006/relationships/image" Target="media/image10.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7.png"/><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hyperlink" Target="https://taio.atende.net/?pg=transparencia" TargetMode="External"/><Relationship Id="rId56" Type="http://schemas.openxmlformats.org/officeDocument/2006/relationships/hyperlink" Target="https://turismo.taio.sc.gov.br/" TargetMode="External"/><Relationship Id="rId64" Type="http://schemas.openxmlformats.org/officeDocument/2006/relationships/hyperlink" Target="https://turismo.taio.sc.gov.br/" TargetMode="External"/><Relationship Id="rId69" Type="http://schemas.openxmlformats.org/officeDocument/2006/relationships/hyperlink" Target="https://turismo.taio.sc.gov.br/" TargetMode="External"/><Relationship Id="rId8" Type="http://schemas.openxmlformats.org/officeDocument/2006/relationships/chart" Target="charts/chart1.xml"/><Relationship Id="rId51" Type="http://schemas.openxmlformats.org/officeDocument/2006/relationships/image" Target="media/image2.jpe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hyperlink" Target="http://www.planalto.gov.br/ccivil_03/leis/lcp/lcp123.htm" TargetMode="External"/><Relationship Id="rId59" Type="http://schemas.openxmlformats.org/officeDocument/2006/relationships/image" Target="media/image6.png"/><Relationship Id="rId67" Type="http://schemas.openxmlformats.org/officeDocument/2006/relationships/hyperlink" Target="https://turismo.taio.sc.gov.br/" TargetMode="Externa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hyperlink" Target="https://turismo.taio.sc.gov.br/" TargetMode="External"/><Relationship Id="rId62" Type="http://schemas.openxmlformats.org/officeDocument/2006/relationships/hyperlink" Target="https://turismo.taio.sc.gov.br/"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image" Target="media/image1.jpeg"/><Relationship Id="rId57" Type="http://schemas.openxmlformats.org/officeDocument/2006/relationships/image" Target="media/image5.jpeg"/><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hyperlink" Target="https://www.amavi.org.br/municipios-associados/enderecos" TargetMode="External"/><Relationship Id="rId52" Type="http://schemas.openxmlformats.org/officeDocument/2006/relationships/hyperlink" Target="https://turismo.taio.sc.gov.br/" TargetMode="External"/><Relationship Id="rId60" Type="http://schemas.openxmlformats.org/officeDocument/2006/relationships/hyperlink" Target="https://turismo.taio.sc.gov.br/" TargetMode="External"/><Relationship Id="rId65" Type="http://schemas.openxmlformats.org/officeDocument/2006/relationships/image" Target="media/image9.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34" Type="http://schemas.openxmlformats.org/officeDocument/2006/relationships/chart" Target="charts/chart27.xml"/><Relationship Id="rId50" Type="http://schemas.openxmlformats.org/officeDocument/2006/relationships/hyperlink" Target="https://turismo.taio.sc.gov.br/" TargetMode="External"/><Relationship Id="rId55"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UNIDAVI\TCC\COLETA%20DOS%20DADOS\2017%20-%20ACOMPANHAMENTO%20LICITA&#199;&#213;E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Documents\UNIDAVI\TCC\COLETA%20DOS%20DADOS\2018%20-%20ACOMPANHAMENTO%20LICITA&#199;&#213;ES.xlsx"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1" Type="http://schemas.openxmlformats.org/officeDocument/2006/relationships/oleObject" Target="file:///D:\Documents\UNIDAVI\TCC\COLETA%20DOS%20DADOS\2018%20-%20ACOMPANHAMENTO%20LICITA&#199;&#213;ES.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D:\Documents\UNIDAVI\TCC\COLETA%20DOS%20DADOS\2018%20-%20ACOMPANHAMENTO%20LICITA&#199;&#213;ES.xlsx" TargetMode="External"/><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1" Type="http://schemas.openxmlformats.org/officeDocument/2006/relationships/oleObject" Target="file:///D:\Documents\UNIDAVI\TCC\COLETA%20DOS%20DADOS\2018%20-%20ACOMPANHAMENTO%20LICITA&#199;&#213;ES.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D:\Documents\UNIDAVI\TCC\COLETA%20DOS%20DADOS\2018%20-%20ACOMPANHAMENTO%20LICITA&#199;&#213;ES.xlsx" TargetMode="External"/><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1" Type="http://schemas.openxmlformats.org/officeDocument/2006/relationships/oleObject" Target="file:///D:\Documents\UNIDAVI\TCC\COLETA%20DOS%20DADOS\2019%20-%20ACOMPANHAMENTO%20LICITA&#199;&#213;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Documents\UNIDAVI\TCC\COLETA%20DOS%20DADOS\2019%20-%20ACOMPANHAMENTO%20LICITA&#199;&#213;ES.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D:\Documents\UNIDAVI\TCC\COLETA%20DOS%20DADOS\2019%20-%20ACOMPANHAMENTO%20LICITA&#199;&#213;ES.xlsx" TargetMode="External"/><Relationship Id="rId2" Type="http://schemas.microsoft.com/office/2011/relationships/chartColorStyle" Target="colors7.xml"/><Relationship Id="rId1" Type="http://schemas.microsoft.com/office/2011/relationships/chartStyle" Target="style7.xml"/></Relationships>
</file>

<file path=word/charts/_rels/chart18.xml.rels><?xml version="1.0" encoding="UTF-8" standalone="yes"?>
<Relationships xmlns="http://schemas.openxmlformats.org/package/2006/relationships"><Relationship Id="rId1" Type="http://schemas.openxmlformats.org/officeDocument/2006/relationships/oleObject" Target="file:///D:\Documents\UNIDAVI\TCC\COLETA%20DOS%20DADOS\2019%20-%20ACOMPANHAMENTO%20LICITA&#199;&#213;ES.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D:\Documents\UNIDAVI\TCC\COLETA%20DOS%20DADOS\2019%20-%20ACOMPANHAMENTO%20LICITA&#199;&#213;ES.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UNIDAVI\TCC\COLETA%20DOS%20DADOS\2017%20-%20ACOMPANHAMENTO%20LICITA&#199;&#213;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Documents\UNIDAVI\TCC\COLETA%20DOS%20DADOS\2019%20-%20ACOMPANHAMENTO%20LICITA&#199;&#213;ES.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D:\Documents\UNIDAVI\TCC\COLETA%20DOS%20DADOS\2019%20-%20ACOMPANHAMENTO%20LICITA&#199;&#213;ES.xlsx" TargetMode="External"/><Relationship Id="rId2" Type="http://schemas.microsoft.com/office/2011/relationships/chartColorStyle" Target="colors9.xml"/><Relationship Id="rId1" Type="http://schemas.microsoft.com/office/2011/relationships/chartStyle" Target="style9.xml"/></Relationships>
</file>

<file path=word/charts/_rels/chart22.xml.rels><?xml version="1.0" encoding="UTF-8" standalone="yes"?>
<Relationships xmlns="http://schemas.openxmlformats.org/package/2006/relationships"><Relationship Id="rId1" Type="http://schemas.openxmlformats.org/officeDocument/2006/relationships/oleObject" Target="file:///D:\Documents\UNIDAVI\TCC\COLETA%20DOS%20DADOS\2020%20-%20ACOMPANHAMENTO%20LICITA&#199;&#213;E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Documents\UNIDAVI\TCC\COLETA%20DOS%20DADOS\2020%20-%20ACOMPANHAMENTO%20LICITA&#199;&#213;ES.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D:\Documents\UNIDAVI\TCC\COLETA%20DOS%20DADOS\2020%20-%20ACOMPANHAMENTO%20LICITA&#199;&#213;ES.xlsx" TargetMode="External"/><Relationship Id="rId2" Type="http://schemas.microsoft.com/office/2011/relationships/chartColorStyle" Target="colors10.xml"/><Relationship Id="rId1" Type="http://schemas.microsoft.com/office/2011/relationships/chartStyle" Target="style10.xml"/></Relationships>
</file>

<file path=word/charts/_rels/chart25.xml.rels><?xml version="1.0" encoding="UTF-8" standalone="yes"?>
<Relationships xmlns="http://schemas.openxmlformats.org/package/2006/relationships"><Relationship Id="rId1" Type="http://schemas.openxmlformats.org/officeDocument/2006/relationships/oleObject" Target="file:///D:\Documents\UNIDAVI\TCC\COLETA%20DOS%20DADOS\2020%20-%20ACOMPANHAMENTO%20LICITA&#199;&#213;ES.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D:\Documents\UNIDAVI\TCC\COLETA%20DOS%20DADOS\2020%20-%20ACOMPANHAMENTO%20LICITA&#199;&#213;ES.xlsx" TargetMode="External"/><Relationship Id="rId2" Type="http://schemas.microsoft.com/office/2011/relationships/chartColorStyle" Target="colors11.xml"/><Relationship Id="rId1" Type="http://schemas.microsoft.com/office/2011/relationships/chartStyle" Target="style11.xml"/></Relationships>
</file>

<file path=word/charts/_rels/chart27.xml.rels><?xml version="1.0" encoding="UTF-8" standalone="yes"?>
<Relationships xmlns="http://schemas.openxmlformats.org/package/2006/relationships"><Relationship Id="rId1" Type="http://schemas.openxmlformats.org/officeDocument/2006/relationships/oleObject" Target="file:///D:\Documents\UNIDAVI\TCC\COLETA%20DOS%20DADOS\2020%20-%20ACOMPANHAMENTO%20LICITA&#199;&#213;ES.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D:\Documents\UNIDAVI\TCC\COLETA%20DOS%20DADOS\2020%20-%20ACOMPANHAMENTO%20LICITA&#199;&#213;ES.xlsx" TargetMode="External"/><Relationship Id="rId2" Type="http://schemas.microsoft.com/office/2011/relationships/chartColorStyle" Target="colors12.xml"/><Relationship Id="rId1" Type="http://schemas.microsoft.com/office/2011/relationships/chartStyle" Target="style12.xml"/></Relationships>
</file>

<file path=word/charts/_rels/chart29.xml.rels><?xml version="1.0" encoding="UTF-8" standalone="yes"?>
<Relationships xmlns="http://schemas.openxmlformats.org/package/2006/relationships"><Relationship Id="rId3" Type="http://schemas.openxmlformats.org/officeDocument/2006/relationships/oleObject" Target="file:///D:\Documents\UNIDAVI\TCC\COLETA%20DOS%20DADOS\2020%20-%20ACOMPANHAMENTO%20LICITA&#199;&#213;ES.xlsx" TargetMode="External"/><Relationship Id="rId2" Type="http://schemas.microsoft.com/office/2011/relationships/chartColorStyle" Target="colors13.xml"/><Relationship Id="rId1" Type="http://schemas.microsoft.com/office/2011/relationships/chartStyle" Target="style13.xml"/></Relationships>
</file>

<file path=word/charts/_rels/chart3.xml.rels><?xml version="1.0" encoding="UTF-8" standalone="yes"?>
<Relationships xmlns="http://schemas.openxmlformats.org/package/2006/relationships"><Relationship Id="rId3" Type="http://schemas.openxmlformats.org/officeDocument/2006/relationships/oleObject" Target="file:///D:\Documents\UNIDAVI\TCC\COLETA%20DOS%20DADOS\2017%20-%20ACOMPANHAMENTO%20LICITA&#199;&#213;ES.xlsx" TargetMode="External"/><Relationship Id="rId2" Type="http://schemas.microsoft.com/office/2011/relationships/chartColorStyle" Target="colors1.xml"/><Relationship Id="rId1" Type="http://schemas.microsoft.com/office/2011/relationships/chartStyle" Target="style1.xml"/></Relationships>
</file>

<file path=word/charts/_rels/chart30.xml.rels><?xml version="1.0" encoding="UTF-8" standalone="yes"?>
<Relationships xmlns="http://schemas.openxmlformats.org/package/2006/relationships"><Relationship Id="rId3" Type="http://schemas.openxmlformats.org/officeDocument/2006/relationships/oleObject" Target="file:///D:\Documents\UNIDAVI\TCC\COLETA%20DOS%20DADOS\2020%20-%20ACOMPANHAMENTO%20LICITA&#199;&#213;ES.xlsx" TargetMode="External"/><Relationship Id="rId2" Type="http://schemas.microsoft.com/office/2011/relationships/chartColorStyle" Target="colors14.xml"/><Relationship Id="rId1" Type="http://schemas.microsoft.com/office/2011/relationships/chartStyle" Target="style14.xml"/></Relationships>
</file>

<file path=word/charts/_rels/chart31.xml.rels><?xml version="1.0" encoding="UTF-8" standalone="yes"?>
<Relationships xmlns="http://schemas.openxmlformats.org/package/2006/relationships"><Relationship Id="rId3" Type="http://schemas.openxmlformats.org/officeDocument/2006/relationships/oleObject" Target="file:///D:\Documents\UNIDAVI\TCC\COLETA%20DOS%20DADOS\2020%20-%20ACOMPANHAMENTO%20LICITA&#199;&#213;ES.xlsx" TargetMode="External"/><Relationship Id="rId2" Type="http://schemas.microsoft.com/office/2011/relationships/chartColorStyle" Target="colors15.xml"/><Relationship Id="rId1" Type="http://schemas.microsoft.com/office/2011/relationships/chartStyle" Target="style15.xml"/></Relationships>
</file>

<file path=word/charts/_rels/chart32.xml.rels><?xml version="1.0" encoding="UTF-8" standalone="yes"?>
<Relationships xmlns="http://schemas.openxmlformats.org/package/2006/relationships"><Relationship Id="rId3" Type="http://schemas.openxmlformats.org/officeDocument/2006/relationships/oleObject" Target="file:///D:\Documents\UNIDAVI\TCC\COLETA%20DOS%20DADOS\2020%20-%20ACOMPANHAMENTO%20LICITA&#199;&#213;ES.xlsx" TargetMode="External"/><Relationship Id="rId2" Type="http://schemas.microsoft.com/office/2011/relationships/chartColorStyle" Target="colors16.xml"/><Relationship Id="rId1" Type="http://schemas.microsoft.com/office/2011/relationships/chartStyle" Target="style16.xml"/></Relationships>
</file>

<file path=word/charts/_rels/chart33.xml.rels><?xml version="1.0" encoding="UTF-8" standalone="yes"?>
<Relationships xmlns="http://schemas.openxmlformats.org/package/2006/relationships"><Relationship Id="rId3" Type="http://schemas.openxmlformats.org/officeDocument/2006/relationships/oleObject" Target="file:///D:\Documents\UNIDAVI\TCC\COLETA%20DOS%20DADOS\2020%20-%20ACOMPANHAMENTO%20LICITA&#199;&#213;ES.xlsx" TargetMode="External"/><Relationship Id="rId2" Type="http://schemas.microsoft.com/office/2011/relationships/chartColorStyle" Target="colors17.xml"/><Relationship Id="rId1" Type="http://schemas.microsoft.com/office/2011/relationships/chartStyle" Target="style17.xml"/></Relationships>
</file>

<file path=word/charts/_rels/chart34.xml.rels><?xml version="1.0" encoding="UTF-8" standalone="yes"?>
<Relationships xmlns="http://schemas.openxmlformats.org/package/2006/relationships"><Relationship Id="rId3" Type="http://schemas.openxmlformats.org/officeDocument/2006/relationships/oleObject" Target="file:///D:\Documents\UNIDAVI\TCC\COLETA%20DOS%20DADOS\2020%20-%20ACOMPANHAMENTO%20LICITA&#199;&#213;ES.xlsx" TargetMode="External"/><Relationship Id="rId2" Type="http://schemas.microsoft.com/office/2011/relationships/chartColorStyle" Target="colors18.xml"/><Relationship Id="rId1" Type="http://schemas.microsoft.com/office/2011/relationships/chartStyle" Target="style18.xml"/></Relationships>
</file>

<file path=word/charts/_rels/chart35.xml.rels><?xml version="1.0" encoding="UTF-8" standalone="yes"?>
<Relationships xmlns="http://schemas.openxmlformats.org/package/2006/relationships"><Relationship Id="rId3" Type="http://schemas.openxmlformats.org/officeDocument/2006/relationships/oleObject" Target="file:///D:\Documents\UNIDAVI\TCC\COLETA%20DOS%20DADOS\2020%20-%20ACOMPANHAMENTO%20LICITA&#199;&#213;ES.xlsx" TargetMode="External"/><Relationship Id="rId2" Type="http://schemas.microsoft.com/office/2011/relationships/chartColorStyle" Target="colors19.xml"/><Relationship Id="rId1" Type="http://schemas.microsoft.com/office/2011/relationships/chartStyle" Target="style19.xml"/></Relationships>
</file>

<file path=word/charts/_rels/chart36.xml.rels><?xml version="1.0" encoding="UTF-8" standalone="yes"?>
<Relationships xmlns="http://schemas.openxmlformats.org/package/2006/relationships"><Relationship Id="rId3" Type="http://schemas.openxmlformats.org/officeDocument/2006/relationships/oleObject" Target="file:///D:\Documents\UNIDAVI\TCC\COLETA%20DOS%20DADOS\2020%20-%20ACOMPANHAMENTO%20LICITA&#199;&#213;ES.xlsx" TargetMode="External"/><Relationship Id="rId2" Type="http://schemas.microsoft.com/office/2011/relationships/chartColorStyle" Target="colors20.xml"/><Relationship Id="rId1" Type="http://schemas.microsoft.com/office/2011/relationships/chartStyle" Target="style20.xm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s\UNIDAVI\TCC\COLETA%20DOS%20DADOS\2017%20-%20ACOMPANHAMENTO%20LICITA&#199;&#213;E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Documents\UNIDAVI\TCC\COLETA%20DOS%20DADOS\2017%20-%20ACOMPANHAMENTO%20LICITA&#199;&#213;ES.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oleObject" Target="file:///D:\Documents\UNIDAVI\TCC\COLETA%20DOS%20DADOS\2017%20-%20ACOMPANHAMENTO%20LICITA&#199;&#213;E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Documents\UNIDAVI\TCC\COLETA%20DOS%20DADOS\2017%20-%20ACOMPANHAMENTO%20LICITA&#199;&#213;ES.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oleObject" Target="file:///D:\Documents\UNIDAVI\TCC\COLETA%20DOS%20DADOS\2018%20-%20ACOMPANHAMENTO%20LICITA&#199;&#213;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ocuments\UNIDAVI\TCC\COLETA%20DOS%20DADOS\2018%20-%20ACOMPANHAMENTO%20LICITA&#199;&#213;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pt-BR" sz="1000">
                <a:latin typeface="Times New Roman" panose="02020603050405020304" pitchFamily="18" charset="0"/>
                <a:cs typeface="Times New Roman" panose="02020603050405020304" pitchFamily="18" charset="0"/>
              </a:rPr>
              <a:t>Valor total/economia</a:t>
            </a:r>
            <a:r>
              <a:rPr lang="pt-BR" sz="1000" baseline="0">
                <a:latin typeface="Times New Roman" panose="02020603050405020304" pitchFamily="18" charset="0"/>
                <a:cs typeface="Times New Roman" panose="02020603050405020304" pitchFamily="18" charset="0"/>
              </a:rPr>
              <a:t> - Ano 2017</a:t>
            </a:r>
            <a:endParaRPr lang="pt-BR" sz="1000">
              <a:latin typeface="Times New Roman" panose="02020603050405020304" pitchFamily="18" charset="0"/>
              <a:cs typeface="Times New Roman" panose="02020603050405020304" pitchFamily="18" charset="0"/>
            </a:endParaRPr>
          </a:p>
        </c:rich>
      </c:tx>
      <c:layout>
        <c:manualLayout>
          <c:xMode val="edge"/>
          <c:yMode val="edge"/>
          <c:x val="0.341278801129895"/>
          <c:y val="3.9953627704664124E-2"/>
        </c:manualLayout>
      </c:layout>
      <c:overlay val="0"/>
    </c:title>
    <c:autoTitleDeleted val="0"/>
    <c:view3D>
      <c:rotX val="30"/>
      <c:rotY val="135"/>
      <c:rAngAx val="0"/>
    </c:view3D>
    <c:floor>
      <c:thickness val="0"/>
    </c:floor>
    <c:sideWall>
      <c:thickness val="0"/>
    </c:sideWall>
    <c:backWall>
      <c:thickness val="0"/>
    </c:backWall>
    <c:plotArea>
      <c:layout>
        <c:manualLayout>
          <c:layoutTarget val="inner"/>
          <c:xMode val="edge"/>
          <c:yMode val="edge"/>
          <c:x val="9.9364628601752666E-4"/>
          <c:y val="0.18573097502278091"/>
          <c:w val="0.55991279778552272"/>
          <c:h val="0.70647434098646655"/>
        </c:manualLayout>
      </c:layout>
      <c:pie3DChart>
        <c:varyColors val="1"/>
        <c:ser>
          <c:idx val="0"/>
          <c:order val="0"/>
          <c:explosion val="35"/>
          <c:dLbls>
            <c:dLbl>
              <c:idx val="0"/>
              <c:layout>
                <c:manualLayout>
                  <c:x val="3.1572556162720096E-2"/>
                  <c:y val="-0.2011405182281730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AC8-4302-BB6C-1453FB6ADDDF}"/>
                </c:ext>
              </c:extLst>
            </c:dLbl>
            <c:dLbl>
              <c:idx val="1"/>
              <c:layout>
                <c:manualLayout>
                  <c:x val="-1.3158737671452271E-3"/>
                  <c:y val="7.852694624625666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C8-4302-BB6C-1453FB6ADDDF}"/>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pt-BR"/>
              </a:p>
            </c:txPr>
            <c:showLegendKey val="0"/>
            <c:showVal val="1"/>
            <c:showCatName val="0"/>
            <c:showSerName val="0"/>
            <c:showPercent val="0"/>
            <c:showBubbleSize val="0"/>
            <c:showLeaderLines val="1"/>
            <c:extLst>
              <c:ext xmlns:c15="http://schemas.microsoft.com/office/drawing/2012/chart" uri="{CE6537A1-D6FC-4f65-9D91-7224C49458BB}"/>
            </c:extLst>
          </c:dLbls>
          <c:cat>
            <c:strRef>
              <c:f>GRAF.!$B$9:$B$10</c:f>
              <c:strCache>
                <c:ptCount val="2"/>
                <c:pt idx="0">
                  <c:v>Homologados</c:v>
                </c:pt>
                <c:pt idx="1">
                  <c:v>Diferença/economia</c:v>
                </c:pt>
              </c:strCache>
            </c:strRef>
          </c:cat>
          <c:val>
            <c:numRef>
              <c:f>GRAF.!$C$9:$C$10</c:f>
              <c:numCache>
                <c:formatCode>#,##0.00</c:formatCode>
                <c:ptCount val="2"/>
                <c:pt idx="0">
                  <c:v>11702228.080000002</c:v>
                </c:pt>
                <c:pt idx="1">
                  <c:v>2082918.84</c:v>
                </c:pt>
              </c:numCache>
            </c:numRef>
          </c:val>
          <c:extLst>
            <c:ext xmlns:c16="http://schemas.microsoft.com/office/drawing/2014/chart" uri="{C3380CC4-5D6E-409C-BE32-E72D297353CC}">
              <c16:uniqueId val="{00000002-1AC8-4302-BB6C-1453FB6ADDDF}"/>
            </c:ext>
          </c:extLst>
        </c:ser>
        <c:dLbls>
          <c:showLegendKey val="0"/>
          <c:showVal val="0"/>
          <c:showCatName val="0"/>
          <c:showSerName val="0"/>
          <c:showPercent val="0"/>
          <c:showBubbleSize val="0"/>
          <c:showLeaderLines val="1"/>
        </c:dLbls>
      </c:pie3DChart>
    </c:plotArea>
    <c:legend>
      <c:legendPos val="r"/>
      <c:layout>
        <c:manualLayout>
          <c:xMode val="edge"/>
          <c:yMode val="edge"/>
          <c:x val="0.64690331741319218"/>
          <c:y val="0.20309126493187302"/>
          <c:w val="0.29121867963225906"/>
          <c:h val="0.40732822078022002"/>
        </c:manualLayout>
      </c:layout>
      <c:overlay val="0"/>
      <c:txPr>
        <a:bodyPr/>
        <a:lstStyle/>
        <a:p>
          <a:pPr>
            <a:defRPr sz="1000"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b="1">
                <a:solidFill>
                  <a:sysClr val="windowText" lastClr="000000"/>
                </a:solidFill>
                <a:latin typeface="Times New Roman" panose="02020603050405020304" pitchFamily="18" charset="0"/>
                <a:cs typeface="Times New Roman" panose="02020603050405020304" pitchFamily="18" charset="0"/>
              </a:rPr>
              <a:t>Percentual de cada modaidade de licitação ano 2018</a:t>
            </a:r>
          </a:p>
        </c:rich>
      </c:tx>
      <c:layout>
        <c:manualLayout>
          <c:xMode val="edge"/>
          <c:yMode val="edge"/>
          <c:x val="0.60646765166893024"/>
          <c:y val="3.3618730768497716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2.0010506060897226E-2"/>
          <c:y val="6.9322410875168106E-2"/>
          <c:w val="0.56406800746423391"/>
          <c:h val="0.9003853753619595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ED-4618-B069-0C079F44A8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ED-4618-B069-0C079F44A8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6ED-4618-B069-0C079F44A8E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6ED-4618-B069-0C079F44A8E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6ED-4618-B069-0C079F44A8E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6ED-4618-B069-0C079F44A8E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6ED-4618-B069-0C079F44A8E5}"/>
              </c:ext>
            </c:extLst>
          </c:dPt>
          <c:dLbls>
            <c:dLbl>
              <c:idx val="0"/>
              <c:layout>
                <c:manualLayout>
                  <c:x val="9.3136635981726779E-2"/>
                  <c:y val="0.1269202657569710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ED-4618-B069-0C079F44A8E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GRAF.!$B$87:$B$92</c:f>
              <c:strCache>
                <c:ptCount val="6"/>
                <c:pt idx="0">
                  <c:v>Pregão presencial</c:v>
                </c:pt>
                <c:pt idx="1">
                  <c:v>Pregão eletrônico</c:v>
                </c:pt>
                <c:pt idx="2">
                  <c:v>Inexigibilidade</c:v>
                </c:pt>
                <c:pt idx="3">
                  <c:v>Tomada de preços</c:v>
                </c:pt>
                <c:pt idx="4">
                  <c:v>Convite</c:v>
                </c:pt>
                <c:pt idx="5">
                  <c:v>Dispensa</c:v>
                </c:pt>
              </c:strCache>
            </c:strRef>
          </c:cat>
          <c:val>
            <c:numRef>
              <c:f>GRAF.!$C$87:$C$92</c:f>
              <c:numCache>
                <c:formatCode>General</c:formatCode>
                <c:ptCount val="6"/>
                <c:pt idx="0">
                  <c:v>70</c:v>
                </c:pt>
                <c:pt idx="1">
                  <c:v>1</c:v>
                </c:pt>
                <c:pt idx="2">
                  <c:v>1</c:v>
                </c:pt>
                <c:pt idx="3">
                  <c:v>5</c:v>
                </c:pt>
                <c:pt idx="4">
                  <c:v>5</c:v>
                </c:pt>
                <c:pt idx="5">
                  <c:v>12</c:v>
                </c:pt>
              </c:numCache>
            </c:numRef>
          </c:val>
          <c:extLst>
            <c:ext xmlns:c16="http://schemas.microsoft.com/office/drawing/2014/chart" uri="{C3380CC4-5D6E-409C-BE32-E72D297353CC}">
              <c16:uniqueId val="{0000000E-16ED-4618-B069-0C079F44A8E5}"/>
            </c:ext>
          </c:extLst>
        </c:ser>
        <c:dLbls>
          <c:dLblPos val="bestFit"/>
          <c:showLegendKey val="0"/>
          <c:showVal val="1"/>
          <c:showCatName val="0"/>
          <c:showSerName val="0"/>
          <c:showPercent val="0"/>
          <c:showBubbleSize val="0"/>
          <c:showLeaderLines val="1"/>
        </c:dLbls>
        <c:firstSliceAng val="158"/>
      </c:pieChart>
      <c:spPr>
        <a:noFill/>
        <a:ln>
          <a:noFill/>
        </a:ln>
        <a:effectLst/>
      </c:spPr>
    </c:plotArea>
    <c:legend>
      <c:legendPos val="r"/>
      <c:layout>
        <c:manualLayout>
          <c:xMode val="edge"/>
          <c:yMode val="edge"/>
          <c:x val="0.7064086376957982"/>
          <c:y val="0.18987262831928023"/>
          <c:w val="0.27484693216365441"/>
          <c:h val="0.68063361521401844"/>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en-US" sz="1000" b="1" i="0" baseline="0">
                <a:effectLst/>
              </a:rPr>
              <a:t>Quantidade de participações vencedoras por região  </a:t>
            </a:r>
            <a:endParaRPr lang="pt-BR" sz="1000">
              <a:effectLst/>
            </a:endParaRPr>
          </a:p>
        </c:rich>
      </c:tx>
      <c:layout>
        <c:manualLayout>
          <c:xMode val="edge"/>
          <c:yMode val="edge"/>
          <c:x val="0.36221008088274681"/>
          <c:y val="4.4522112891454482E-2"/>
        </c:manualLayout>
      </c:layout>
      <c:overlay val="0"/>
    </c:title>
    <c:autoTitleDeleted val="0"/>
    <c:plotArea>
      <c:layout>
        <c:manualLayout>
          <c:layoutTarget val="inner"/>
          <c:xMode val="edge"/>
          <c:yMode val="edge"/>
          <c:x val="3.1910825961569619E-2"/>
          <c:y val="0.11152312877518163"/>
          <c:w val="0.42280474199984264"/>
          <c:h val="0.83743696569833759"/>
        </c:manualLayout>
      </c:layout>
      <c:doughnutChart>
        <c:varyColors val="1"/>
        <c:ser>
          <c:idx val="0"/>
          <c:order val="0"/>
          <c:dLbls>
            <c:dLbl>
              <c:idx val="0"/>
              <c:layout>
                <c:manualLayout>
                  <c:x val="3.1721449610532106E-6"/>
                  <c:y val="1.9047597621749936E-2"/>
                </c:manualLayout>
              </c:layout>
              <c:tx>
                <c:rich>
                  <a:bodyPr/>
                  <a:lstStyle/>
                  <a:p>
                    <a:fld id="{23B92CA6-47CB-4999-AEC5-C922C3060296}" type="VALUE">
                      <a:rPr lang="en-US"/>
                      <a:pPr/>
                      <a:t>[VALOR]</a:t>
                    </a:fld>
                    <a:r>
                      <a:rPr lang="en-US" baseline="0"/>
                      <a:t>;</a:t>
                    </a:r>
                  </a:p>
                  <a:p>
                    <a:r>
                      <a:rPr lang="en-US" baseline="0"/>
                      <a:t> </a:t>
                    </a:r>
                    <a:fld id="{01B56D44-B2D5-49DF-81C8-12587B1BCFDA}" type="PERCENTAGE">
                      <a:rPr lang="en-US" baseline="0"/>
                      <a:pPr/>
                      <a:t>[PORCENTAGEM]</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B2F-4833-85B6-0B9FC0E51C75}"/>
                </c:ext>
              </c:extLst>
            </c:dLbl>
            <c:dLbl>
              <c:idx val="1"/>
              <c:layout>
                <c:manualLayout>
                  <c:x val="-6.3609854218234889E-3"/>
                  <c:y val="4.7618994054374891E-3"/>
                </c:manualLayout>
              </c:layout>
              <c:tx>
                <c:rich>
                  <a:bodyPr/>
                  <a:lstStyle/>
                  <a:p>
                    <a:fld id="{4BAF14BD-7391-4417-AD6B-8AE1E253E1F7}" type="VALUE">
                      <a:rPr lang="en-US"/>
                      <a:pPr/>
                      <a:t>[VALOR]</a:t>
                    </a:fld>
                    <a:r>
                      <a:rPr lang="en-US" baseline="0"/>
                      <a:t>;</a:t>
                    </a:r>
                  </a:p>
                  <a:p>
                    <a:r>
                      <a:rPr lang="en-US" baseline="0"/>
                      <a:t> </a:t>
                    </a:r>
                    <a:fld id="{15D585B6-D597-4398-A8E4-8F368DEA1107}" type="PERCENTAGE">
                      <a:rPr lang="en-US" baseline="0"/>
                      <a:pPr/>
                      <a:t>[PORCENTAGEM]</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B2F-4833-85B6-0B9FC0E51C75}"/>
                </c:ext>
              </c:extLst>
            </c:dLbl>
            <c:dLbl>
              <c:idx val="2"/>
              <c:layout>
                <c:manualLayout>
                  <c:x val="1.8206784846234746E-2"/>
                  <c:y val="-9.0476838608730459E-2"/>
                </c:manualLayout>
              </c:layout>
              <c:tx>
                <c:rich>
                  <a:bodyPr/>
                  <a:lstStyle/>
                  <a:p>
                    <a:fld id="{667AA4D7-11B1-45C0-B580-20ED1BE336DA}" type="VALUE">
                      <a:rPr lang="en-US"/>
                      <a:pPr/>
                      <a:t>[VALOR]</a:t>
                    </a:fld>
                    <a:r>
                      <a:rPr lang="en-US" baseline="0"/>
                      <a:t>; </a:t>
                    </a:r>
                  </a:p>
                  <a:p>
                    <a:fld id="{5B33EF91-0CAC-4EF4-BA04-F0763BDF0BF0}" type="PERCENTAGE">
                      <a:rPr lang="en-US" baseline="0"/>
                      <a:pPr/>
                      <a:t>[PORCENTAGEM]</a:t>
                    </a:fld>
                    <a:endParaRPr lang="pt-B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B2F-4833-85B6-0B9FC0E51C75}"/>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pt-BR"/>
              </a:p>
            </c:txPr>
            <c:showLegendKey val="0"/>
            <c:showVal val="1"/>
            <c:showCatName val="0"/>
            <c:showSerName val="0"/>
            <c:showPercent val="1"/>
            <c:showBubbleSize val="0"/>
            <c:showLeaderLines val="1"/>
            <c:extLst>
              <c:ext xmlns:c15="http://schemas.microsoft.com/office/drawing/2012/chart" uri="{CE6537A1-D6FC-4f65-9D91-7224C49458BB}"/>
            </c:extLst>
          </c:dLbls>
          <c:cat>
            <c:strRef>
              <c:f>GRAF.!$B$18:$B$20</c:f>
              <c:strCache>
                <c:ptCount val="3"/>
                <c:pt idx="0">
                  <c:v>Nº Empresas de Taió</c:v>
                </c:pt>
                <c:pt idx="1">
                  <c:v>Nº Empresas do Alto Vale</c:v>
                </c:pt>
                <c:pt idx="2">
                  <c:v>Nº Empresas de fora</c:v>
                </c:pt>
              </c:strCache>
            </c:strRef>
          </c:cat>
          <c:val>
            <c:numRef>
              <c:f>GRAF.!$C$18:$C$20</c:f>
              <c:numCache>
                <c:formatCode>General</c:formatCode>
                <c:ptCount val="3"/>
                <c:pt idx="0">
                  <c:v>70</c:v>
                </c:pt>
                <c:pt idx="1">
                  <c:v>41</c:v>
                </c:pt>
                <c:pt idx="2">
                  <c:v>87</c:v>
                </c:pt>
              </c:numCache>
            </c:numRef>
          </c:val>
          <c:extLst>
            <c:ext xmlns:c16="http://schemas.microsoft.com/office/drawing/2014/chart" uri="{C3380CC4-5D6E-409C-BE32-E72D297353CC}">
              <c16:uniqueId val="{00000003-6B2F-4833-85B6-0B9FC0E51C75}"/>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968205826123586"/>
          <c:y val="0.19617558284953548"/>
          <c:w val="0.35279300138186587"/>
          <c:h val="0.60054495222698046"/>
        </c:manualLayout>
      </c:layout>
      <c:overlay val="1"/>
      <c:txPr>
        <a:bodyPr/>
        <a:lstStyle/>
        <a:p>
          <a:pPr>
            <a:defRPr sz="1000"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Valor das empresas vencedoras por região</a:t>
            </a:r>
          </a:p>
        </c:rich>
      </c:tx>
      <c:layout>
        <c:manualLayout>
          <c:xMode val="edge"/>
          <c:yMode val="edge"/>
          <c:x val="0.48084639930212802"/>
          <c:y val="7.6694017542285747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5.2306918267869575E-2"/>
          <c:y val="9.7549179743090061E-2"/>
          <c:w val="0.4318639379261266"/>
          <c:h val="0.7789447714741178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C7-441A-B7F1-DE644B273D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C7-441A-B7F1-DE644B273D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6C7-441A-B7F1-DE644B273DCD}"/>
              </c:ext>
            </c:extLst>
          </c:dPt>
          <c:dLbls>
            <c:dLbl>
              <c:idx val="0"/>
              <c:layout>
                <c:manualLayout>
                  <c:x val="-0.16734720324539035"/>
                  <c:y val="0.12080147985659796"/>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997605A-0756-4CEE-A831-85E74794ADEB}" type="VALUE">
                      <a:rPr lang="en-US" sz="100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[VALOR]</a:t>
                    </a:fld>
                    <a:r>
                      <a:rPr lang="en-US" sz="1000" baseline="0">
                        <a:latin typeface="Times New Roman" panose="02020603050405020304" pitchFamily="18" charset="0"/>
                        <a:cs typeface="Times New Roman" panose="02020603050405020304" pitchFamily="18" charset="0"/>
                      </a:rPr>
                      <a:t>; </a:t>
                    </a:r>
                  </a:p>
                  <a:p>
                    <a:pPr>
                      <a:defRPr sz="1000" b="1">
                        <a:solidFill>
                          <a:sysClr val="windowText" lastClr="000000"/>
                        </a:solidFill>
                        <a:latin typeface="Times New Roman" panose="02020603050405020304" pitchFamily="18" charset="0"/>
                        <a:cs typeface="Times New Roman" panose="02020603050405020304" pitchFamily="18" charset="0"/>
                      </a:defRPr>
                    </a:pPr>
                    <a:fld id="{C43441F6-74DF-4230-85DE-A93E1C0790B0}" type="PERCENTAGE">
                      <a:rPr lang="en-US" sz="1000" baseline="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[PORCENTAGEM]</a:t>
                    </a:fld>
                    <a:endParaRPr lang="en-US" sz="1000" baseline="0">
                      <a:latin typeface="Times New Roman" panose="02020603050405020304" pitchFamily="18" charset="0"/>
                      <a:cs typeface="Times New Roman" panose="02020603050405020304" pitchFamily="18" charset="0"/>
                    </a:endParaRPr>
                  </a:p>
                  <a:p>
                    <a:pPr>
                      <a:defRPr sz="1000" b="1">
                        <a:solidFill>
                          <a:sysClr val="windowText" lastClr="000000"/>
                        </a:solidFill>
                        <a:latin typeface="Times New Roman" panose="02020603050405020304" pitchFamily="18" charset="0"/>
                        <a:cs typeface="Times New Roman" panose="02020603050405020304" pitchFamily="18" charset="0"/>
                      </a:defRPr>
                    </a:pPr>
                    <a:endParaRPr lang="pt-B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6933810375670841"/>
                      <c:h val="0.27077847077847078"/>
                    </c:manualLayout>
                  </c15:layout>
                  <c15:dlblFieldTable/>
                  <c15:showDataLabelsRange val="0"/>
                </c:ext>
                <c:ext xmlns:c16="http://schemas.microsoft.com/office/drawing/2014/chart" uri="{C3380CC4-5D6E-409C-BE32-E72D297353CC}">
                  <c16:uniqueId val="{00000001-16C7-441A-B7F1-DE644B273DCD}"/>
                </c:ext>
              </c:extLst>
            </c:dLbl>
            <c:dLbl>
              <c:idx val="1"/>
              <c:layout>
                <c:manualLayout>
                  <c:x val="3.2945971199038401E-3"/>
                  <c:y val="-2.2194938730371802E-2"/>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D4B790A-6AF1-4049-9136-526524FDE028}" type="VALUE">
                      <a:rPr lang="en-US" sz="100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[VALOR]</a:t>
                    </a:fld>
                    <a:r>
                      <a:rPr lang="en-US" sz="1000" baseline="0">
                        <a:latin typeface="Times New Roman" panose="02020603050405020304" pitchFamily="18" charset="0"/>
                        <a:cs typeface="Times New Roman" panose="02020603050405020304" pitchFamily="18" charset="0"/>
                      </a:rPr>
                      <a:t>;</a:t>
                    </a:r>
                  </a:p>
                  <a:p>
                    <a:pPr>
                      <a:defRPr sz="1000" b="1">
                        <a:solidFill>
                          <a:sysClr val="windowText" lastClr="000000"/>
                        </a:solidFill>
                        <a:latin typeface="Times New Roman" panose="02020603050405020304" pitchFamily="18" charset="0"/>
                        <a:cs typeface="Times New Roman" panose="02020603050405020304" pitchFamily="18" charset="0"/>
                      </a:defRPr>
                    </a:pPr>
                    <a:r>
                      <a:rPr lang="en-US" sz="1000" baseline="0">
                        <a:latin typeface="Times New Roman" panose="02020603050405020304" pitchFamily="18" charset="0"/>
                        <a:cs typeface="Times New Roman" panose="02020603050405020304" pitchFamily="18" charset="0"/>
                      </a:rPr>
                      <a:t> </a:t>
                    </a:r>
                    <a:fld id="{BC39D6B9-1858-4D29-A63A-98171D076F9B}" type="PERCENTAGE">
                      <a:rPr lang="en-US" sz="1000" baseline="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[PORCENTAGEM]</a:t>
                    </a:fld>
                    <a:endParaRPr lang="en-US" sz="1000"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6456768038163386"/>
                      <c:h val="0.23381843381843381"/>
                    </c:manualLayout>
                  </c15:layout>
                  <c15:dlblFieldTable/>
                  <c15:showDataLabelsRange val="0"/>
                </c:ext>
                <c:ext xmlns:c16="http://schemas.microsoft.com/office/drawing/2014/chart" uri="{C3380CC4-5D6E-409C-BE32-E72D297353CC}">
                  <c16:uniqueId val="{00000003-16C7-441A-B7F1-DE644B273DCD}"/>
                </c:ext>
              </c:extLst>
            </c:dLbl>
            <c:dLbl>
              <c:idx val="2"/>
              <c:layout>
                <c:manualLayout>
                  <c:x val="4.3470952535226409E-3"/>
                  <c:y val="9.3917782106758482E-2"/>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00DD12A-7F43-4781-8770-C5EF7189122C}" type="VALUE">
                      <a:rPr lang="en-US" sz="100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[VALOR]</a:t>
                    </a:fld>
                    <a:r>
                      <a:rPr lang="en-US" sz="1000" baseline="0">
                        <a:latin typeface="Times New Roman" panose="02020603050405020304" pitchFamily="18" charset="0"/>
                        <a:cs typeface="Times New Roman" panose="02020603050405020304" pitchFamily="18" charset="0"/>
                      </a:rPr>
                      <a:t>;</a:t>
                    </a:r>
                  </a:p>
                  <a:p>
                    <a:pPr>
                      <a:defRPr sz="1000" b="1">
                        <a:solidFill>
                          <a:sysClr val="windowText" lastClr="000000"/>
                        </a:solidFill>
                        <a:latin typeface="Times New Roman" panose="02020603050405020304" pitchFamily="18" charset="0"/>
                        <a:cs typeface="Times New Roman" panose="02020603050405020304" pitchFamily="18" charset="0"/>
                      </a:defRPr>
                    </a:pPr>
                    <a:r>
                      <a:rPr lang="en-US" sz="1000" baseline="0">
                        <a:latin typeface="Times New Roman" panose="02020603050405020304" pitchFamily="18" charset="0"/>
                        <a:cs typeface="Times New Roman" panose="02020603050405020304" pitchFamily="18" charset="0"/>
                      </a:rPr>
                      <a:t> </a:t>
                    </a:r>
                    <a:fld id="{B0A9B577-E05C-4EB2-AEB8-B940719F16A2}" type="PERCENTAGE">
                      <a:rPr lang="en-US" sz="1000" baseline="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[PORCENTAGEM]</a:t>
                    </a:fld>
                    <a:endParaRPr lang="en-US" sz="1000"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4310077519379844"/>
                      <c:h val="0.2291984291984292"/>
                    </c:manualLayout>
                  </c15:layout>
                  <c15:dlblFieldTable/>
                  <c15:showDataLabelsRange val="0"/>
                </c:ext>
                <c:ext xmlns:c16="http://schemas.microsoft.com/office/drawing/2014/chart" uri="{C3380CC4-5D6E-409C-BE32-E72D297353CC}">
                  <c16:uniqueId val="{00000005-16C7-441A-B7F1-DE644B273DC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GRAF.!$B$24:$B$26</c:f>
              <c:strCache>
                <c:ptCount val="3"/>
                <c:pt idx="0">
                  <c:v>Valor Empresas de Taió</c:v>
                </c:pt>
                <c:pt idx="1">
                  <c:v>Valor Empresas do Alto Vale</c:v>
                </c:pt>
                <c:pt idx="2">
                  <c:v>Valor Empresas de Fora</c:v>
                </c:pt>
              </c:strCache>
            </c:strRef>
          </c:cat>
          <c:val>
            <c:numRef>
              <c:f>GRAF.!$D$24:$D$26</c:f>
              <c:numCache>
                <c:formatCode>_("R$"* #,##0.00_);_("R$"* \(#,##0.00\);_("R$"* "-"??_);_(@_)</c:formatCode>
                <c:ptCount val="3"/>
                <c:pt idx="0">
                  <c:v>5180784.07</c:v>
                </c:pt>
                <c:pt idx="1">
                  <c:v>3966290.46</c:v>
                </c:pt>
                <c:pt idx="2">
                  <c:v>5300488.7300000004</c:v>
                </c:pt>
              </c:numCache>
            </c:numRef>
          </c:val>
          <c:extLst>
            <c:ext xmlns:c16="http://schemas.microsoft.com/office/drawing/2014/chart" uri="{C3380CC4-5D6E-409C-BE32-E72D297353CC}">
              <c16:uniqueId val="{00000006-16C7-441A-B7F1-DE644B273DC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026744244608764"/>
          <c:y val="0.29762977544473601"/>
          <c:w val="0.40157713266208089"/>
          <c:h val="0.6041206146038433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pt-BR" sz="1000" b="1" i="0" baseline="0">
                <a:effectLst/>
              </a:rPr>
              <a:t>Quantidade de participações ME/EPP por região</a:t>
            </a:r>
            <a:endParaRPr lang="pt-BR" sz="1000">
              <a:effectLst/>
            </a:endParaRPr>
          </a:p>
        </c:rich>
      </c:tx>
      <c:layout>
        <c:manualLayout>
          <c:xMode val="edge"/>
          <c:yMode val="edge"/>
          <c:x val="0.40186762109281793"/>
          <c:y val="4.526808855236087E-2"/>
        </c:manualLayout>
      </c:layout>
      <c:overlay val="0"/>
    </c:title>
    <c:autoTitleDeleted val="0"/>
    <c:plotArea>
      <c:layout>
        <c:manualLayout>
          <c:layoutTarget val="inner"/>
          <c:xMode val="edge"/>
          <c:yMode val="edge"/>
          <c:x val="2.9559321389174179E-2"/>
          <c:y val="0.12828541303128024"/>
          <c:w val="0.39058750808322867"/>
          <c:h val="0.84418286790110508"/>
        </c:manualLayout>
      </c:layout>
      <c:doughnutChart>
        <c:varyColors val="1"/>
        <c:ser>
          <c:idx val="0"/>
          <c:order val="0"/>
          <c:dLbls>
            <c:dLbl>
              <c:idx val="0"/>
              <c:layout>
                <c:manualLayout>
                  <c:x val="3.1721449610532106E-6"/>
                  <c:y val="1.9047597621749936E-2"/>
                </c:manualLayout>
              </c:layout>
              <c:tx>
                <c:rich>
                  <a:bodyPr/>
                  <a:lstStyle/>
                  <a:p>
                    <a:fld id="{51ACAD8E-7FE9-40FE-936B-256CE8020E29}" type="VALUE">
                      <a:rPr lang="en-US"/>
                      <a:pPr/>
                      <a:t>[VALOR]</a:t>
                    </a:fld>
                    <a:r>
                      <a:rPr lang="en-US" baseline="0"/>
                      <a:t>;</a:t>
                    </a:r>
                  </a:p>
                  <a:p>
                    <a:r>
                      <a:rPr lang="en-US" baseline="0"/>
                      <a:t> </a:t>
                    </a:r>
                    <a:fld id="{83392861-5924-4B83-9EC4-4FC2BF30E9CD}" type="PERCENTAGE">
                      <a:rPr lang="en-US" baseline="0"/>
                      <a:pPr/>
                      <a:t>[PORCENTAGEM]</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710-45F4-B6DF-8A485CE01D99}"/>
                </c:ext>
              </c:extLst>
            </c:dLbl>
            <c:dLbl>
              <c:idx val="1"/>
              <c:layout>
                <c:manualLayout>
                  <c:x val="-6.3609854218234889E-3"/>
                  <c:y val="4.7618994054374891E-3"/>
                </c:manualLayout>
              </c:layout>
              <c:tx>
                <c:rich>
                  <a:bodyPr/>
                  <a:lstStyle/>
                  <a:p>
                    <a:fld id="{0550131D-E3FD-428F-9560-9EBE17123D72}" type="VALUE">
                      <a:rPr lang="en-US"/>
                      <a:pPr/>
                      <a:t>[VALOR]</a:t>
                    </a:fld>
                    <a:r>
                      <a:rPr lang="en-US" baseline="0"/>
                      <a:t>;</a:t>
                    </a:r>
                  </a:p>
                  <a:p>
                    <a:r>
                      <a:rPr lang="en-US" baseline="0"/>
                      <a:t> </a:t>
                    </a:r>
                    <a:fld id="{E0AFB30B-C1B7-462B-87B5-FAE4FE26ED95}" type="PERCENTAGE">
                      <a:rPr lang="en-US" baseline="0"/>
                      <a:pPr/>
                      <a:t>[PORCENTAGEM]</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710-45F4-B6DF-8A485CE01D99}"/>
                </c:ext>
              </c:extLst>
            </c:dLbl>
            <c:dLbl>
              <c:idx val="2"/>
              <c:layout>
                <c:manualLayout>
                  <c:x val="1.8206784846234746E-2"/>
                  <c:y val="-9.0476838608730459E-2"/>
                </c:manualLayout>
              </c:layout>
              <c:tx>
                <c:rich>
                  <a:bodyPr/>
                  <a:lstStyle/>
                  <a:p>
                    <a:fld id="{11FB3B0A-B9F0-4BCA-9329-43832EBEF129}" type="VALUE">
                      <a:rPr lang="en-US"/>
                      <a:pPr/>
                      <a:t>[VALOR]</a:t>
                    </a:fld>
                    <a:r>
                      <a:rPr lang="en-US" baseline="0"/>
                      <a:t>; </a:t>
                    </a:r>
                  </a:p>
                  <a:p>
                    <a:fld id="{5F27494E-B039-4C8F-9CF5-471319B60D84}" type="PERCENTAGE">
                      <a:rPr lang="en-US" baseline="0"/>
                      <a:pPr/>
                      <a:t>[PORCENTAGEM]</a:t>
                    </a:fld>
                    <a:endParaRPr lang="pt-B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710-45F4-B6DF-8A485CE01D99}"/>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pt-BR"/>
              </a:p>
            </c:txPr>
            <c:showLegendKey val="0"/>
            <c:showVal val="1"/>
            <c:showCatName val="0"/>
            <c:showSerName val="0"/>
            <c:showPercent val="1"/>
            <c:showBubbleSize val="0"/>
            <c:showLeaderLines val="1"/>
            <c:extLst>
              <c:ext xmlns:c15="http://schemas.microsoft.com/office/drawing/2012/chart" uri="{CE6537A1-D6FC-4f65-9D91-7224C49458BB}"/>
            </c:extLst>
          </c:dLbls>
          <c:cat>
            <c:strRef>
              <c:f>GRAF.!$B$50:$B$52</c:f>
              <c:strCache>
                <c:ptCount val="3"/>
                <c:pt idx="0">
                  <c:v>Nº Empresas ME/EPP de Taió</c:v>
                </c:pt>
                <c:pt idx="1">
                  <c:v>Nº Empresas ME/EPP do Alto Vale</c:v>
                </c:pt>
                <c:pt idx="2">
                  <c:v>Nº Empresas ME/EPP de fora</c:v>
                </c:pt>
              </c:strCache>
            </c:strRef>
          </c:cat>
          <c:val>
            <c:numRef>
              <c:f>GRAF.!$C$50:$C$52</c:f>
              <c:numCache>
                <c:formatCode>General</c:formatCode>
                <c:ptCount val="3"/>
                <c:pt idx="0">
                  <c:v>58</c:v>
                </c:pt>
                <c:pt idx="1">
                  <c:v>26</c:v>
                </c:pt>
                <c:pt idx="2">
                  <c:v>47</c:v>
                </c:pt>
              </c:numCache>
            </c:numRef>
          </c:val>
          <c:extLst>
            <c:ext xmlns:c16="http://schemas.microsoft.com/office/drawing/2014/chart" uri="{C3380CC4-5D6E-409C-BE32-E72D297353CC}">
              <c16:uniqueId val="{00000003-D710-45F4-B6DF-8A485CE01D99}"/>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051137357830271"/>
          <c:y val="0.25764001504510448"/>
          <c:w val="0.47199575185714632"/>
          <c:h val="0.52973778745532563"/>
        </c:manualLayout>
      </c:layout>
      <c:overlay val="1"/>
      <c:txPr>
        <a:bodyPr/>
        <a:lstStyle/>
        <a:p>
          <a:pPr>
            <a:defRPr sz="1000"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Valor das</a:t>
            </a:r>
            <a:r>
              <a:rPr lang="en-US" sz="1000" b="1" baseline="0">
                <a:solidFill>
                  <a:sysClr val="windowText" lastClr="000000"/>
                </a:solidFill>
                <a:latin typeface="Times New Roman" panose="02020603050405020304" pitchFamily="18" charset="0"/>
                <a:cs typeface="Times New Roman" panose="02020603050405020304" pitchFamily="18" charset="0"/>
              </a:rPr>
              <a:t> empresas</a:t>
            </a:r>
            <a:r>
              <a:rPr lang="en-US" sz="1000" b="1">
                <a:solidFill>
                  <a:sysClr val="windowText" lastClr="000000"/>
                </a:solidFill>
                <a:latin typeface="Times New Roman" panose="02020603050405020304" pitchFamily="18" charset="0"/>
                <a:cs typeface="Times New Roman" panose="02020603050405020304" pitchFamily="18" charset="0"/>
              </a:rPr>
              <a:t> vencedoras ME/EPP por região</a:t>
            </a:r>
          </a:p>
        </c:rich>
      </c:tx>
      <c:layout>
        <c:manualLayout>
          <c:xMode val="edge"/>
          <c:yMode val="edge"/>
          <c:x val="0.35705042119399349"/>
          <c:y val="3.0045067601402103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2.436249071677991E-2"/>
          <c:y val="0.1207904894241161"/>
          <c:w val="0.38157286578193544"/>
          <c:h val="0.7343234294134879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14-49FF-AE88-E6E22D4DF7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14-49FF-AE88-E6E22D4DF7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14-49FF-AE88-E6E22D4DF742}"/>
              </c:ext>
            </c:extLst>
          </c:dPt>
          <c:dLbls>
            <c:dLbl>
              <c:idx val="0"/>
              <c:layout>
                <c:manualLayout>
                  <c:x val="1.3253439980810834E-3"/>
                  <c:y val="3.1739458173264672E-2"/>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60AFF9B-B330-4839-9875-5AE8BC18C547}" type="VALUE">
                      <a:rPr lang="en-US" sz="100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[VALOR]</a:t>
                    </a:fld>
                    <a:r>
                      <a:rPr lang="en-US" sz="1000" baseline="0">
                        <a:latin typeface="Times New Roman" panose="02020603050405020304" pitchFamily="18" charset="0"/>
                        <a:cs typeface="Times New Roman" panose="02020603050405020304" pitchFamily="18" charset="0"/>
                      </a:rPr>
                      <a:t>; </a:t>
                    </a:r>
                  </a:p>
                  <a:p>
                    <a:pPr>
                      <a:defRPr sz="1000" b="1">
                        <a:solidFill>
                          <a:sysClr val="windowText" lastClr="000000"/>
                        </a:solidFill>
                        <a:latin typeface="Times New Roman" panose="02020603050405020304" pitchFamily="18" charset="0"/>
                        <a:cs typeface="Times New Roman" panose="02020603050405020304" pitchFamily="18" charset="0"/>
                      </a:defRPr>
                    </a:pPr>
                    <a:fld id="{A70209F5-F2C0-4184-8F6C-C244CC8A1C65}" type="PERCENTAGE">
                      <a:rPr lang="en-US" sz="1000" baseline="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[PORCENTAGEM]</a:t>
                    </a:fld>
                    <a:endParaRPr lang="pt-B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4351493848857644"/>
                      <c:h val="0.25559945145265145"/>
                    </c:manualLayout>
                  </c15:layout>
                  <c15:dlblFieldTable/>
                  <c15:showDataLabelsRange val="0"/>
                </c:ext>
                <c:ext xmlns:c16="http://schemas.microsoft.com/office/drawing/2014/chart" uri="{C3380CC4-5D6E-409C-BE32-E72D297353CC}">
                  <c16:uniqueId val="{00000001-A614-49FF-AE88-E6E22D4DF742}"/>
                </c:ext>
              </c:extLst>
            </c:dLbl>
            <c:dLbl>
              <c:idx val="1"/>
              <c:layout>
                <c:manualLayout>
                  <c:x val="-0.13130371005908975"/>
                  <c:y val="0.20851519857595655"/>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3648506151142354"/>
                      <c:h val="0.25109010162657003"/>
                    </c:manualLayout>
                  </c15:layout>
                </c:ext>
                <c:ext xmlns:c16="http://schemas.microsoft.com/office/drawing/2014/chart" uri="{C3380CC4-5D6E-409C-BE32-E72D297353CC}">
                  <c16:uniqueId val="{00000003-A614-49FF-AE88-E6E22D4DF742}"/>
                </c:ext>
              </c:extLst>
            </c:dLbl>
            <c:dLbl>
              <c:idx val="2"/>
              <c:layout>
                <c:manualLayout>
                  <c:x val="-0.13373981152180231"/>
                  <c:y val="-0.13866386943846551"/>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9EAFB12-7C69-4498-9FA8-940E9F48462C}" type="VALUE">
                      <a:rPr lang="en-US" sz="100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[VALOR]</a:t>
                    </a:fld>
                    <a:r>
                      <a:rPr lang="en-US" sz="1000" baseline="0">
                        <a:latin typeface="Times New Roman" panose="02020603050405020304" pitchFamily="18" charset="0"/>
                        <a:cs typeface="Times New Roman" panose="02020603050405020304" pitchFamily="18" charset="0"/>
                      </a:rPr>
                      <a:t>;</a:t>
                    </a:r>
                  </a:p>
                  <a:p>
                    <a:pPr>
                      <a:defRPr sz="1000" b="1">
                        <a:solidFill>
                          <a:sysClr val="windowText" lastClr="000000"/>
                        </a:solidFill>
                        <a:latin typeface="Times New Roman" panose="02020603050405020304" pitchFamily="18" charset="0"/>
                        <a:cs typeface="Times New Roman" panose="02020603050405020304" pitchFamily="18" charset="0"/>
                      </a:defRPr>
                    </a:pPr>
                    <a:r>
                      <a:rPr lang="en-US" sz="1000" baseline="0">
                        <a:latin typeface="Times New Roman" panose="02020603050405020304" pitchFamily="18" charset="0"/>
                        <a:cs typeface="Times New Roman" panose="02020603050405020304" pitchFamily="18" charset="0"/>
                      </a:rPr>
                      <a:t> </a:t>
                    </a:r>
                    <a:fld id="{E82023F2-A215-49E7-BC4B-00DCB632C541}" type="PERCENTAGE">
                      <a:rPr lang="en-US" sz="1000" baseline="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[PORCENTAGEM]</a:t>
                    </a:fld>
                    <a:endParaRPr lang="en-US" sz="1000"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5288810779144699"/>
                      <c:h val="0.26881617306487204"/>
                    </c:manualLayout>
                  </c15:layout>
                  <c15:dlblFieldTable/>
                  <c15:showDataLabelsRange val="0"/>
                </c:ext>
                <c:ext xmlns:c16="http://schemas.microsoft.com/office/drawing/2014/chart" uri="{C3380CC4-5D6E-409C-BE32-E72D297353CC}">
                  <c16:uniqueId val="{00000005-A614-49FF-AE88-E6E22D4DF74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GRAF.!$B$73:$B$75</c:f>
              <c:strCache>
                <c:ptCount val="3"/>
                <c:pt idx="0">
                  <c:v>Valor Empresas ME/EPP de Taió</c:v>
                </c:pt>
                <c:pt idx="1">
                  <c:v>Valor Empresas ME/EPP do Alto Vale</c:v>
                </c:pt>
                <c:pt idx="2">
                  <c:v>Valor Empresas ME/EPP de Fora</c:v>
                </c:pt>
              </c:strCache>
            </c:strRef>
          </c:cat>
          <c:val>
            <c:numRef>
              <c:f>GRAF.!$D$73:$D$75</c:f>
              <c:numCache>
                <c:formatCode>_("R$"* #,##0.00_);_("R$"* \(#,##0.00\);_("R$"* "-"??_);_(@_)</c:formatCode>
                <c:ptCount val="3"/>
                <c:pt idx="0">
                  <c:v>3328015.3200000003</c:v>
                </c:pt>
                <c:pt idx="1">
                  <c:v>1900686.0999999999</c:v>
                </c:pt>
                <c:pt idx="2">
                  <c:v>1788581.92</c:v>
                </c:pt>
              </c:numCache>
            </c:numRef>
          </c:val>
          <c:extLst>
            <c:ext xmlns:c16="http://schemas.microsoft.com/office/drawing/2014/chart" uri="{C3380CC4-5D6E-409C-BE32-E72D297353CC}">
              <c16:uniqueId val="{00000006-A614-49FF-AE88-E6E22D4DF742}"/>
            </c:ext>
          </c:extLst>
        </c:ser>
        <c:dLbls>
          <c:dLblPos val="ctr"/>
          <c:showLegendKey val="0"/>
          <c:showVal val="0"/>
          <c:showCatName val="0"/>
          <c:showSerName val="0"/>
          <c:showPercent val="1"/>
          <c:showBubbleSize val="0"/>
          <c:showLeaderLines val="1"/>
        </c:dLbls>
        <c:firstSliceAng val="185"/>
      </c:pieChart>
      <c:spPr>
        <a:noFill/>
        <a:ln>
          <a:noFill/>
        </a:ln>
        <a:effectLst/>
      </c:spPr>
    </c:plotArea>
    <c:legend>
      <c:legendPos val="r"/>
      <c:layout>
        <c:manualLayout>
          <c:xMode val="edge"/>
          <c:yMode val="edge"/>
          <c:x val="0.52806719898149812"/>
          <c:y val="0.26272400727074863"/>
          <c:w val="0.45234968973249207"/>
          <c:h val="0.55330489938757654"/>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pt-BR" sz="1000" b="1" i="0" baseline="0">
                <a:effectLst/>
                <a:latin typeface="Times New Roman" panose="02020603050405020304" pitchFamily="18" charset="0"/>
                <a:cs typeface="Times New Roman" panose="02020603050405020304" pitchFamily="18" charset="0"/>
              </a:rPr>
              <a:t>Valor total/economia - ano 2019</a:t>
            </a:r>
            <a:endParaRPr lang="pt-BR" sz="1000">
              <a:effectLst/>
              <a:latin typeface="Times New Roman" panose="02020603050405020304" pitchFamily="18" charset="0"/>
              <a:cs typeface="Times New Roman" panose="02020603050405020304" pitchFamily="18" charset="0"/>
            </a:endParaRPr>
          </a:p>
        </c:rich>
      </c:tx>
      <c:layout>
        <c:manualLayout>
          <c:xMode val="edge"/>
          <c:yMode val="edge"/>
          <c:x val="0.44739993739314698"/>
          <c:y val="5.0083696485682748E-2"/>
        </c:manualLayout>
      </c:layout>
      <c:overlay val="0"/>
    </c:title>
    <c:autoTitleDeleted val="0"/>
    <c:view3D>
      <c:rotX val="30"/>
      <c:rotY val="145"/>
      <c:rAngAx val="0"/>
    </c:view3D>
    <c:floor>
      <c:thickness val="0"/>
    </c:floor>
    <c:sideWall>
      <c:thickness val="0"/>
    </c:sideWall>
    <c:backWall>
      <c:thickness val="0"/>
    </c:backWall>
    <c:plotArea>
      <c:layout>
        <c:manualLayout>
          <c:layoutTarget val="inner"/>
          <c:xMode val="edge"/>
          <c:yMode val="edge"/>
          <c:x val="1.3045130420644322E-2"/>
          <c:y val="0.19067789477621711"/>
          <c:w val="0.57302543376768178"/>
          <c:h val="0.77582901602857834"/>
        </c:manualLayout>
      </c:layout>
      <c:pie3DChart>
        <c:varyColors val="1"/>
        <c:ser>
          <c:idx val="0"/>
          <c:order val="0"/>
          <c:dPt>
            <c:idx val="0"/>
            <c:bubble3D val="0"/>
            <c:explosion val="52"/>
            <c:extLst>
              <c:ext xmlns:c16="http://schemas.microsoft.com/office/drawing/2014/chart" uri="{C3380CC4-5D6E-409C-BE32-E72D297353CC}">
                <c16:uniqueId val="{00000001-8B1A-4838-BAE3-6662D404B2BF}"/>
              </c:ext>
            </c:extLst>
          </c:dPt>
          <c:dLbls>
            <c:dLbl>
              <c:idx val="0"/>
              <c:layout>
                <c:manualLayout>
                  <c:x val="2.1440550019743107E-3"/>
                  <c:y val="-0.102325621907881"/>
                </c:manualLayout>
              </c:layout>
              <c:tx>
                <c:rich>
                  <a:bodyPr/>
                  <a:lstStyle/>
                  <a:p>
                    <a:fld id="{6252FAD4-6CAB-44F3-9B2A-A0AB77A623F4}" type="VALUE">
                      <a:rPr lang="en-US" sz="1000">
                        <a:latin typeface="Times New Roman" panose="02020603050405020304" pitchFamily="18" charset="0"/>
                        <a:cs typeface="Times New Roman" panose="02020603050405020304" pitchFamily="18" charset="0"/>
                      </a:rPr>
                      <a:pPr/>
                      <a:t>[VALOR]</a:t>
                    </a:fld>
                    <a:r>
                      <a:rPr lang="en-US" sz="1000" baseline="0">
                        <a:latin typeface="Times New Roman" panose="02020603050405020304" pitchFamily="18" charset="0"/>
                        <a:cs typeface="Times New Roman" panose="02020603050405020304" pitchFamily="18" charset="0"/>
                      </a:rPr>
                      <a:t>; </a:t>
                    </a:r>
                    <a:fld id="{99A3318C-BB16-46C2-B8F8-5C3440F54E60}" type="PERCENTAGE">
                      <a:rPr lang="en-US" sz="1000" baseline="0">
                        <a:latin typeface="Times New Roman" panose="02020603050405020304" pitchFamily="18" charset="0"/>
                        <a:cs typeface="Times New Roman" panose="02020603050405020304" pitchFamily="18" charset="0"/>
                      </a:rPr>
                      <a:pPr/>
                      <a:t>[PORCENTAGEM]</a:t>
                    </a:fld>
                    <a:endParaRPr lang="en-US" sz="1000" baseline="0">
                      <a:latin typeface="Times New Roman" panose="02020603050405020304" pitchFamily="18" charset="0"/>
                      <a:cs typeface="Times New Roman" panose="02020603050405020304" pitchFamily="18" charset="0"/>
                    </a:endParaRPr>
                  </a:p>
                </c:rich>
              </c:tx>
              <c:showLegendKey val="0"/>
              <c:showVal val="1"/>
              <c:showCatName val="0"/>
              <c:showSerName val="0"/>
              <c:showPercent val="1"/>
              <c:showBubbleSize val="0"/>
              <c:extLst>
                <c:ext xmlns:c15="http://schemas.microsoft.com/office/drawing/2012/chart" uri="{CE6537A1-D6FC-4f65-9D91-7224C49458BB}">
                  <c15:layout>
                    <c:manualLayout>
                      <c:w val="0.25476710089663646"/>
                      <c:h val="0.29187229980782631"/>
                    </c:manualLayout>
                  </c15:layout>
                  <c15:dlblFieldTable/>
                  <c15:showDataLabelsRange val="0"/>
                </c:ext>
                <c:ext xmlns:c16="http://schemas.microsoft.com/office/drawing/2014/chart" uri="{C3380CC4-5D6E-409C-BE32-E72D297353CC}">
                  <c16:uniqueId val="{00000001-8B1A-4838-BAE3-6662D404B2BF}"/>
                </c:ext>
              </c:extLst>
            </c:dLbl>
            <c:dLbl>
              <c:idx val="1"/>
              <c:layout>
                <c:manualLayout>
                  <c:x val="-7.4776298980326575E-2"/>
                  <c:y val="-0.14491559573343649"/>
                </c:manualLayout>
              </c:layout>
              <c:tx>
                <c:rich>
                  <a:bodyPr/>
                  <a:lstStyle/>
                  <a:p>
                    <a:fld id="{36CA530B-477B-4A2B-BA67-899F05AF3DF3}" type="VALUE">
                      <a:rPr lang="en-US" sz="1050">
                        <a:latin typeface="Times New Roman" panose="02020603050405020304" pitchFamily="18" charset="0"/>
                        <a:cs typeface="Times New Roman" panose="02020603050405020304" pitchFamily="18" charset="0"/>
                      </a:rPr>
                      <a:pPr/>
                      <a:t>[VALOR]</a:t>
                    </a:fld>
                    <a:r>
                      <a:rPr lang="en-US" sz="1050" baseline="0">
                        <a:latin typeface="Times New Roman" panose="02020603050405020304" pitchFamily="18" charset="0"/>
                        <a:cs typeface="Times New Roman" panose="02020603050405020304" pitchFamily="18" charset="0"/>
                      </a:rPr>
                      <a:t>; </a:t>
                    </a:r>
                    <a:fld id="{AF521A0E-0BF6-4972-8C97-50992E4E287E}" type="PERCENTAGE">
                      <a:rPr lang="en-US" sz="1050" baseline="0">
                        <a:latin typeface="Times New Roman" panose="02020603050405020304" pitchFamily="18" charset="0"/>
                        <a:cs typeface="Times New Roman" panose="02020603050405020304" pitchFamily="18" charset="0"/>
                      </a:rPr>
                      <a:pPr/>
                      <a:t>[PORCENTAGEM]</a:t>
                    </a:fld>
                    <a:endParaRPr lang="en-US" sz="1050" baseline="0">
                      <a:latin typeface="Times New Roman" panose="02020603050405020304" pitchFamily="18" charset="0"/>
                      <a:cs typeface="Times New Roman" panose="02020603050405020304" pitchFamily="18" charset="0"/>
                    </a:endParaRPr>
                  </a:p>
                </c:rich>
              </c:tx>
              <c:showLegendKey val="0"/>
              <c:showVal val="1"/>
              <c:showCatName val="0"/>
              <c:showSerName val="0"/>
              <c:showPercent val="1"/>
              <c:showBubbleSize val="0"/>
              <c:extLst>
                <c:ext xmlns:c15="http://schemas.microsoft.com/office/drawing/2012/chart" uri="{CE6537A1-D6FC-4f65-9D91-7224C49458BB}">
                  <c15:layout>
                    <c:manualLayout>
                      <c:w val="0.23596162869021903"/>
                      <c:h val="0.18434221108347204"/>
                    </c:manualLayout>
                  </c15:layout>
                  <c15:dlblFieldTable/>
                  <c15:showDataLabelsRange val="0"/>
                </c:ext>
                <c:ext xmlns:c16="http://schemas.microsoft.com/office/drawing/2014/chart" uri="{C3380CC4-5D6E-409C-BE32-E72D297353CC}">
                  <c16:uniqueId val="{00000002-8B1A-4838-BAE3-6662D404B2BF}"/>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pt-BR"/>
              </a:p>
            </c:txPr>
            <c:showLegendKey val="0"/>
            <c:showVal val="1"/>
            <c:showCatName val="0"/>
            <c:showSerName val="0"/>
            <c:showPercent val="1"/>
            <c:showBubbleSize val="0"/>
            <c:showLeaderLines val="1"/>
            <c:extLst>
              <c:ext xmlns:c15="http://schemas.microsoft.com/office/drawing/2012/chart" uri="{CE6537A1-D6FC-4f65-9D91-7224C49458BB}"/>
            </c:extLst>
          </c:dLbls>
          <c:cat>
            <c:strRef>
              <c:f>GRAF.!$B$9:$B$10</c:f>
              <c:strCache>
                <c:ptCount val="2"/>
                <c:pt idx="0">
                  <c:v>Homologados</c:v>
                </c:pt>
                <c:pt idx="1">
                  <c:v>Diferença/economia</c:v>
                </c:pt>
              </c:strCache>
            </c:strRef>
          </c:cat>
          <c:val>
            <c:numRef>
              <c:f>GRAF.!$C$9:$C$10</c:f>
              <c:numCache>
                <c:formatCode>_("R$"* #,##0.00_);_("R$"* \(#,##0.00\);_("R$"* "-"??_);_(@_)</c:formatCode>
                <c:ptCount val="2"/>
                <c:pt idx="0">
                  <c:v>19722082.009999998</c:v>
                </c:pt>
                <c:pt idx="1">
                  <c:v>5932680.1100000003</c:v>
                </c:pt>
              </c:numCache>
            </c:numRef>
          </c:val>
          <c:extLst>
            <c:ext xmlns:c16="http://schemas.microsoft.com/office/drawing/2014/chart" uri="{C3380CC4-5D6E-409C-BE32-E72D297353CC}">
              <c16:uniqueId val="{00000003-8B1A-4838-BAE3-6662D404B2BF}"/>
            </c:ext>
          </c:extLst>
        </c:ser>
        <c:dLbls>
          <c:showLegendKey val="0"/>
          <c:showVal val="0"/>
          <c:showCatName val="0"/>
          <c:showSerName val="0"/>
          <c:showPercent val="0"/>
          <c:showBubbleSize val="0"/>
          <c:showLeaderLines val="1"/>
        </c:dLbls>
      </c:pie3DChart>
    </c:plotArea>
    <c:legend>
      <c:legendPos val="r"/>
      <c:layout>
        <c:manualLayout>
          <c:xMode val="edge"/>
          <c:yMode val="edge"/>
          <c:x val="0.67720419018419153"/>
          <c:y val="0.24710516688732492"/>
          <c:w val="0.31003182124358347"/>
          <c:h val="0.5034539996633437"/>
        </c:manualLayout>
      </c:layout>
      <c:overlay val="0"/>
      <c:txPr>
        <a:bodyPr/>
        <a:lstStyle/>
        <a:p>
          <a:pPr>
            <a:defRPr sz="1000"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pt-BR" sz="1000" b="1" i="0" baseline="0">
                <a:effectLst/>
                <a:latin typeface="Times New Roman" panose="02020603050405020304" pitchFamily="18" charset="0"/>
                <a:cs typeface="Times New Roman" panose="02020603050405020304" pitchFamily="18" charset="0"/>
              </a:rPr>
              <a:t>Áreas de aplicação dos recursos ano 2019</a:t>
            </a:r>
            <a:endParaRPr lang="pt-BR" sz="1000">
              <a:effectLst/>
              <a:latin typeface="Times New Roman" panose="02020603050405020304" pitchFamily="18" charset="0"/>
              <a:cs typeface="Times New Roman" panose="02020603050405020304" pitchFamily="18" charset="0"/>
            </a:endParaRPr>
          </a:p>
        </c:rich>
      </c:tx>
      <c:layout>
        <c:manualLayout>
          <c:xMode val="edge"/>
          <c:yMode val="edge"/>
          <c:x val="0.22784905417672227"/>
          <c:y val="2.3168013443181163E-2"/>
        </c:manualLayout>
      </c:layout>
      <c:overlay val="0"/>
    </c:title>
    <c:autoTitleDeleted val="0"/>
    <c:view3D>
      <c:rotX val="30"/>
      <c:rotY val="156"/>
      <c:rAngAx val="0"/>
    </c:view3D>
    <c:floor>
      <c:thickness val="0"/>
    </c:floor>
    <c:sideWall>
      <c:thickness val="0"/>
    </c:sideWall>
    <c:backWall>
      <c:thickness val="0"/>
    </c:backWall>
    <c:plotArea>
      <c:layout>
        <c:manualLayout>
          <c:layoutTarget val="inner"/>
          <c:xMode val="edge"/>
          <c:yMode val="edge"/>
          <c:x val="1.8150144562709206E-3"/>
          <c:y val="4.2708846944458888E-2"/>
          <c:w val="0.62957049945216459"/>
          <c:h val="0.955318886333407"/>
        </c:manualLayout>
      </c:layout>
      <c:pie3DChart>
        <c:varyColors val="1"/>
        <c:ser>
          <c:idx val="0"/>
          <c:order val="0"/>
          <c:explosion val="31"/>
          <c:dLbls>
            <c:dLbl>
              <c:idx val="0"/>
              <c:layout>
                <c:manualLayout>
                  <c:x val="-6.3884384729133775E-3"/>
                  <c:y val="-0.1650047333148303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9CB-423C-A2A0-BBBD5D60CE36}"/>
                </c:ext>
              </c:extLst>
            </c:dLbl>
            <c:dLbl>
              <c:idx val="1"/>
              <c:layout>
                <c:manualLayout>
                  <c:x val="-0.15141114697255034"/>
                  <c:y val="-0.17194024558103874"/>
                </c:manualLayout>
              </c:layout>
              <c:spPr>
                <a:noFill/>
                <a:ln>
                  <a:noFill/>
                </a:ln>
                <a:effectLst/>
              </c:spPr>
              <c:txPr>
                <a:bodyPr wrap="square" lIns="38100" tIns="19050" rIns="38100" bIns="19050" anchor="ctr">
                  <a:noAutofit/>
                </a:bodyPr>
                <a:lstStyle/>
                <a:p>
                  <a:pPr>
                    <a:defRPr b="1">
                      <a:latin typeface="Times New Roman" panose="02020603050405020304" pitchFamily="18" charset="0"/>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385143926244665"/>
                      <c:h val="0.15699443592733189"/>
                    </c:manualLayout>
                  </c15:layout>
                </c:ext>
                <c:ext xmlns:c16="http://schemas.microsoft.com/office/drawing/2014/chart" uri="{C3380CC4-5D6E-409C-BE32-E72D297353CC}">
                  <c16:uniqueId val="{00000001-59CB-423C-A2A0-BBBD5D60CE36}"/>
                </c:ext>
              </c:extLst>
            </c:dLbl>
            <c:dLbl>
              <c:idx val="2"/>
              <c:layout>
                <c:manualLayout>
                  <c:x val="7.9688136340618373E-2"/>
                  <c:y val="0.1033237831684452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9CB-423C-A2A0-BBBD5D60CE36}"/>
                </c:ext>
              </c:extLst>
            </c:dLbl>
            <c:dLbl>
              <c:idx val="3"/>
              <c:layout>
                <c:manualLayout>
                  <c:x val="-2.7440276679437461E-2"/>
                  <c:y val="7.208848565368328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9CB-423C-A2A0-BBBD5D60CE36}"/>
                </c:ext>
              </c:extLst>
            </c:dLbl>
            <c:dLbl>
              <c:idx val="4"/>
              <c:layout>
                <c:manualLayout>
                  <c:x val="-1.0929566343392513E-5"/>
                  <c:y val="-0.1133444890749395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9CB-423C-A2A0-BBBD5D60CE36}"/>
                </c:ext>
              </c:extLst>
            </c:dLbl>
            <c:dLbl>
              <c:idx val="5"/>
              <c:layout>
                <c:manualLayout>
                  <c:x val="1.3983959768434437E-2"/>
                  <c:y val="-0.1651636993453798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9CB-423C-A2A0-BBBD5D60CE36}"/>
                </c:ext>
              </c:extLst>
            </c:dLbl>
            <c:dLbl>
              <c:idx val="6"/>
              <c:layout>
                <c:manualLayout>
                  <c:x val="0.11209195094608844"/>
                  <c:y val="-0.1331196524954348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9CB-423C-A2A0-BBBD5D60CE36}"/>
                </c:ext>
              </c:extLst>
            </c:dLbl>
            <c:dLbl>
              <c:idx val="7"/>
              <c:layout>
                <c:manualLayout>
                  <c:x val="0.14270011741717195"/>
                  <c:y val="-5.550003166382041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9CB-423C-A2A0-BBBD5D60CE36}"/>
                </c:ext>
              </c:extLst>
            </c:dLbl>
            <c:dLbl>
              <c:idx val="8"/>
              <c:layout>
                <c:manualLayout>
                  <c:x val="0.14657120166882709"/>
                  <c:y val="-0.10059322102363007"/>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9CB-423C-A2A0-BBBD5D60CE36}"/>
                </c:ext>
              </c:extLst>
            </c:dLbl>
            <c:dLbl>
              <c:idx val="9"/>
              <c:layout>
                <c:manualLayout>
                  <c:x val="0.17102232305074128"/>
                  <c:y val="-2.362381609236140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9CB-423C-A2A0-BBBD5D60CE36}"/>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pt-BR"/>
              </a:p>
            </c:tx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GRAF.!$B$29:$B$32</c:f>
              <c:strCache>
                <c:ptCount val="4"/>
                <c:pt idx="0">
                  <c:v>Secretaria de assistência social</c:v>
                </c:pt>
                <c:pt idx="1">
                  <c:v>Secretaria da saúde</c:v>
                </c:pt>
                <c:pt idx="2">
                  <c:v>Município de Taió</c:v>
                </c:pt>
                <c:pt idx="3">
                  <c:v>Instituto de previdência social</c:v>
                </c:pt>
              </c:strCache>
            </c:strRef>
          </c:cat>
          <c:val>
            <c:numRef>
              <c:f>GRAF.!$D$29:$D$32</c:f>
              <c:numCache>
                <c:formatCode>_-"R$"\ * #,##0.00_-;\-"R$"\ * #,##0.00_-;_-"R$"\ * "-"??_-;_-@_-</c:formatCode>
                <c:ptCount val="4"/>
                <c:pt idx="0">
                  <c:v>231122.5</c:v>
                </c:pt>
                <c:pt idx="1">
                  <c:v>1751035.43</c:v>
                </c:pt>
                <c:pt idx="2">
                  <c:v>17735424.079999998</c:v>
                </c:pt>
                <c:pt idx="3">
                  <c:v>4500</c:v>
                </c:pt>
              </c:numCache>
            </c:numRef>
          </c:val>
          <c:extLst>
            <c:ext xmlns:c16="http://schemas.microsoft.com/office/drawing/2014/chart" uri="{C3380CC4-5D6E-409C-BE32-E72D297353CC}">
              <c16:uniqueId val="{0000000A-59CB-423C-A2A0-BBBD5D60CE36}"/>
            </c:ext>
          </c:extLst>
        </c:ser>
        <c:dLbls>
          <c:showLegendKey val="0"/>
          <c:showVal val="0"/>
          <c:showCatName val="0"/>
          <c:showSerName val="0"/>
          <c:showPercent val="0"/>
          <c:showBubbleSize val="0"/>
          <c:showLeaderLines val="1"/>
        </c:dLbls>
      </c:pie3DChart>
    </c:plotArea>
    <c:legend>
      <c:legendPos val="r"/>
      <c:layout>
        <c:manualLayout>
          <c:xMode val="edge"/>
          <c:yMode val="edge"/>
          <c:x val="0.6814696548669591"/>
          <c:y val="0.21995670265744149"/>
          <c:w val="0.29243487552494984"/>
          <c:h val="0.52551413313971929"/>
        </c:manualLayout>
      </c:layout>
      <c:overlay val="0"/>
      <c:txPr>
        <a:bodyPr/>
        <a:lstStyle/>
        <a:p>
          <a:pPr>
            <a:defRPr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b="1">
                <a:solidFill>
                  <a:sysClr val="windowText" lastClr="000000"/>
                </a:solidFill>
                <a:latin typeface="Times New Roman" panose="02020603050405020304" pitchFamily="18" charset="0"/>
                <a:cs typeface="Times New Roman" panose="02020603050405020304" pitchFamily="18" charset="0"/>
              </a:rPr>
              <a:t>Percentual de cada Modalidades</a:t>
            </a:r>
            <a:r>
              <a:rPr lang="pt-BR" sz="1000" b="1" baseline="0">
                <a:solidFill>
                  <a:sysClr val="windowText" lastClr="000000"/>
                </a:solidFill>
                <a:latin typeface="Times New Roman" panose="02020603050405020304" pitchFamily="18" charset="0"/>
                <a:cs typeface="Times New Roman" panose="02020603050405020304" pitchFamily="18" charset="0"/>
              </a:rPr>
              <a:t> de licitação ano 2019</a:t>
            </a:r>
          </a:p>
          <a:p>
            <a:pPr>
              <a:defRPr sz="1000" b="1">
                <a:solidFill>
                  <a:sysClr val="windowText" lastClr="000000"/>
                </a:solidFill>
                <a:latin typeface="Times New Roman" panose="02020603050405020304" pitchFamily="18" charset="0"/>
                <a:cs typeface="Times New Roman" panose="02020603050405020304" pitchFamily="18" charset="0"/>
              </a:defRPr>
            </a:pPr>
            <a:endParaRPr lang="pt-BR"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7212619364196792"/>
          <c:y val="3.3618647040082252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1.5352942072364973E-2"/>
          <c:y val="0.13494767166344943"/>
          <c:w val="0.56019541248321314"/>
          <c:h val="0.8370549949532405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90-4E9B-A33E-8B75040547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190-4E9B-A33E-8B75040547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190-4E9B-A33E-8B75040547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190-4E9B-A33E-8B750405473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190-4E9B-A33E-8B750405473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190-4E9B-A33E-8B750405473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190-4E9B-A33E-8B7504054737}"/>
              </c:ext>
            </c:extLst>
          </c:dPt>
          <c:dLbls>
            <c:dLbl>
              <c:idx val="0"/>
              <c:tx>
                <c:rich>
                  <a:bodyPr/>
                  <a:lstStyle/>
                  <a:p>
                    <a:fld id="{0EB3BE6C-6FD9-4E0E-896D-47CF277BFB06}" type="VALUE">
                      <a:rPr lang="en-US"/>
                      <a:pPr/>
                      <a:t>[VALOR]</a:t>
                    </a:fld>
                    <a:r>
                      <a:rPr lang="en-US" baseline="0"/>
                      <a:t>;</a:t>
                    </a:r>
                  </a:p>
                  <a:p>
                    <a:r>
                      <a:rPr lang="en-US" baseline="0"/>
                      <a:t> </a:t>
                    </a:r>
                    <a:fld id="{7DDEABFD-EF9B-4E3E-9BF8-5B7EC25049ED}" type="PERCENTAGE">
                      <a:rPr lang="en-US" baseline="0"/>
                      <a:pPr/>
                      <a:t>[PORCENTAGEM]</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190-4E9B-A33E-8B7504054737}"/>
                </c:ext>
              </c:extLst>
            </c:dLbl>
            <c:dLbl>
              <c:idx val="1"/>
              <c:tx>
                <c:rich>
                  <a:bodyPr/>
                  <a:lstStyle/>
                  <a:p>
                    <a:fld id="{1A9E07EA-99E9-44C3-A545-0764C3D9CD9B}" type="VALUE">
                      <a:rPr lang="en-US"/>
                      <a:pPr/>
                      <a:t>[VALOR]</a:t>
                    </a:fld>
                    <a:r>
                      <a:rPr lang="en-US" baseline="0"/>
                      <a:t>;</a:t>
                    </a:r>
                  </a:p>
                  <a:p>
                    <a:r>
                      <a:rPr lang="en-US" baseline="0"/>
                      <a:t> </a:t>
                    </a:r>
                    <a:fld id="{2CB47E63-F7F5-461B-BE58-8376B6C09EA3}" type="PERCENTAGE">
                      <a:rPr lang="en-US" baseline="0"/>
                      <a:pPr/>
                      <a:t>[PORCENTAGEM]</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190-4E9B-A33E-8B7504054737}"/>
                </c:ext>
              </c:extLst>
            </c:dLbl>
            <c:dLbl>
              <c:idx val="2"/>
              <c:tx>
                <c:rich>
                  <a:bodyPr/>
                  <a:lstStyle/>
                  <a:p>
                    <a:fld id="{750F248C-2A97-478A-9602-6E5DD6E1BA28}" type="VALUE">
                      <a:rPr lang="en-US"/>
                      <a:pPr/>
                      <a:t>[VALOR]</a:t>
                    </a:fld>
                    <a:r>
                      <a:rPr lang="en-US" baseline="0"/>
                      <a:t>;</a:t>
                    </a:r>
                  </a:p>
                  <a:p>
                    <a:r>
                      <a:rPr lang="en-US" baseline="0"/>
                      <a:t> </a:t>
                    </a:r>
                    <a:fld id="{3A65700D-B5C4-46F3-8E09-BFDD7B926C8E}" type="PERCENTAGE">
                      <a:rPr lang="en-US" baseline="0"/>
                      <a:pPr/>
                      <a:t>[PORCENTAGEM]</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190-4E9B-A33E-8B7504054737}"/>
                </c:ext>
              </c:extLst>
            </c:dLbl>
            <c:dLbl>
              <c:idx val="3"/>
              <c:tx>
                <c:rich>
                  <a:bodyPr/>
                  <a:lstStyle/>
                  <a:p>
                    <a:fld id="{8625DAE8-84AD-4CA7-83ED-5E877B2E5A3A}" type="VALUE">
                      <a:rPr lang="en-US"/>
                      <a:pPr/>
                      <a:t>[VALOR]</a:t>
                    </a:fld>
                    <a:r>
                      <a:rPr lang="en-US" baseline="0"/>
                      <a:t>;</a:t>
                    </a:r>
                  </a:p>
                  <a:p>
                    <a:r>
                      <a:rPr lang="en-US" baseline="0"/>
                      <a:t> </a:t>
                    </a:r>
                    <a:fld id="{3B3FAB98-6A90-49D1-96DC-488E7E575343}" type="PERCENTAGE">
                      <a:rPr lang="en-US" baseline="0"/>
                      <a:pPr/>
                      <a:t>[PORCENTAGEM]</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190-4E9B-A33E-8B7504054737}"/>
                </c:ext>
              </c:extLst>
            </c:dLbl>
            <c:dLbl>
              <c:idx val="4"/>
              <c:tx>
                <c:rich>
                  <a:bodyPr/>
                  <a:lstStyle/>
                  <a:p>
                    <a:fld id="{899AE9ED-F520-48A7-95AD-2D193CC4546B}" type="VALUE">
                      <a:rPr lang="en-US"/>
                      <a:pPr/>
                      <a:t>[VALOR]</a:t>
                    </a:fld>
                    <a:r>
                      <a:rPr lang="en-US" baseline="0"/>
                      <a:t>;</a:t>
                    </a:r>
                  </a:p>
                  <a:p>
                    <a:r>
                      <a:rPr lang="en-US" baseline="0"/>
                      <a:t> </a:t>
                    </a:r>
                    <a:fld id="{A0FA09FA-034A-4B20-85BB-78F70BB5A5FF}" type="PERCENTAGE">
                      <a:rPr lang="en-US" baseline="0"/>
                      <a:pPr/>
                      <a:t>[PORCENTAGEM]</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190-4E9B-A33E-8B7504054737}"/>
                </c:ext>
              </c:extLst>
            </c:dLbl>
            <c:dLbl>
              <c:idx val="5"/>
              <c:tx>
                <c:rich>
                  <a:bodyPr/>
                  <a:lstStyle/>
                  <a:p>
                    <a:fld id="{0FA284A9-9300-4DA4-88B8-79853AFA4F23}" type="VALUE">
                      <a:rPr lang="en-US"/>
                      <a:pPr/>
                      <a:t>[VALOR]</a:t>
                    </a:fld>
                    <a:r>
                      <a:rPr lang="en-US" baseline="0"/>
                      <a:t>; </a:t>
                    </a:r>
                  </a:p>
                  <a:p>
                    <a:fld id="{6457CDBE-73AF-40CF-B82F-EE41A1C0D5F6}" type="PERCENTAGE">
                      <a:rPr lang="en-US" baseline="0"/>
                      <a:pPr/>
                      <a:t>[PORCENTAGEM]</a:t>
                    </a:fld>
                    <a:endParaRPr lang="pt-B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190-4E9B-A33E-8B750405473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GRAF.!$B$87:$B$92</c:f>
              <c:strCache>
                <c:ptCount val="6"/>
                <c:pt idx="0">
                  <c:v>Pregão presencial</c:v>
                </c:pt>
                <c:pt idx="1">
                  <c:v>Pregão eletrônico</c:v>
                </c:pt>
                <c:pt idx="2">
                  <c:v>Inexigibilidade</c:v>
                </c:pt>
                <c:pt idx="3">
                  <c:v>Tomada de preços</c:v>
                </c:pt>
                <c:pt idx="4">
                  <c:v>Convite</c:v>
                </c:pt>
                <c:pt idx="5">
                  <c:v>Dispensa de licitação</c:v>
                </c:pt>
              </c:strCache>
            </c:strRef>
          </c:cat>
          <c:val>
            <c:numRef>
              <c:f>GRAF.!$C$87:$C$92</c:f>
              <c:numCache>
                <c:formatCode>General</c:formatCode>
                <c:ptCount val="6"/>
                <c:pt idx="0">
                  <c:v>83</c:v>
                </c:pt>
                <c:pt idx="1">
                  <c:v>3</c:v>
                </c:pt>
                <c:pt idx="2">
                  <c:v>4</c:v>
                </c:pt>
                <c:pt idx="3">
                  <c:v>9</c:v>
                </c:pt>
                <c:pt idx="4">
                  <c:v>3</c:v>
                </c:pt>
                <c:pt idx="5">
                  <c:v>20</c:v>
                </c:pt>
              </c:numCache>
            </c:numRef>
          </c:val>
          <c:extLst>
            <c:ext xmlns:c16="http://schemas.microsoft.com/office/drawing/2014/chart" uri="{C3380CC4-5D6E-409C-BE32-E72D297353CC}">
              <c16:uniqueId val="{0000000E-F190-4E9B-A33E-8B7504054737}"/>
            </c:ext>
          </c:extLst>
        </c:ser>
        <c:dLbls>
          <c:dLblPos val="bestFit"/>
          <c:showLegendKey val="0"/>
          <c:showVal val="1"/>
          <c:showCatName val="0"/>
          <c:showSerName val="0"/>
          <c:showPercent val="0"/>
          <c:showBubbleSize val="0"/>
          <c:showLeaderLines val="1"/>
        </c:dLbls>
        <c:firstSliceAng val="149"/>
      </c:pieChart>
      <c:spPr>
        <a:noFill/>
        <a:ln>
          <a:noFill/>
        </a:ln>
        <a:effectLst/>
      </c:spPr>
    </c:plotArea>
    <c:legend>
      <c:legendPos val="r"/>
      <c:layout>
        <c:manualLayout>
          <c:xMode val="edge"/>
          <c:yMode val="edge"/>
          <c:x val="0.71369722230323829"/>
          <c:y val="0.17923541774269292"/>
          <c:w val="0.27484693216365441"/>
          <c:h val="0.7711980998776513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en-US" sz="1000" b="1" i="0" baseline="0">
                <a:effectLst/>
              </a:rPr>
              <a:t>Quantidade de participações vencedoras por região  </a:t>
            </a:r>
            <a:endParaRPr lang="pt-BR" sz="1000">
              <a:effectLst/>
            </a:endParaRPr>
          </a:p>
        </c:rich>
      </c:tx>
      <c:layout>
        <c:manualLayout>
          <c:xMode val="edge"/>
          <c:yMode val="edge"/>
          <c:x val="0.38657285270533842"/>
          <c:y val="6.0311849796330572E-2"/>
        </c:manualLayout>
      </c:layout>
      <c:overlay val="0"/>
    </c:title>
    <c:autoTitleDeleted val="0"/>
    <c:plotArea>
      <c:layout>
        <c:manualLayout>
          <c:layoutTarget val="inner"/>
          <c:xMode val="edge"/>
          <c:yMode val="edge"/>
          <c:x val="2.5054439183300518E-2"/>
          <c:y val="0.10891516029796861"/>
          <c:w val="0.35404370749952546"/>
          <c:h val="0.86205030984353404"/>
        </c:manualLayout>
      </c:layout>
      <c:doughnutChart>
        <c:varyColors val="1"/>
        <c:ser>
          <c:idx val="0"/>
          <c:order val="0"/>
          <c:dLbls>
            <c:dLbl>
              <c:idx val="0"/>
              <c:layout>
                <c:manualLayout>
                  <c:x val="3.1721449610532106E-6"/>
                  <c:y val="1.9047597621749936E-2"/>
                </c:manualLayout>
              </c:layout>
              <c:tx>
                <c:rich>
                  <a:bodyPr/>
                  <a:lstStyle/>
                  <a:p>
                    <a:fld id="{16B936DB-80D1-4C66-BB24-BEB90DAA71F9}" type="VALUE">
                      <a:rPr lang="en-US"/>
                      <a:pPr/>
                      <a:t>[VALOR]</a:t>
                    </a:fld>
                    <a:r>
                      <a:rPr lang="en-US" baseline="0"/>
                      <a:t>;</a:t>
                    </a:r>
                  </a:p>
                  <a:p>
                    <a:r>
                      <a:rPr lang="en-US" baseline="0"/>
                      <a:t> </a:t>
                    </a:r>
                    <a:fld id="{8197CBA8-C396-4B7D-AA2F-E28219F7D9C9}" type="PERCENTAGE">
                      <a:rPr lang="en-US" baseline="0"/>
                      <a:pPr/>
                      <a:t>[PORCENTAGEM]</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43E-4E4E-958D-BAC869EE89FF}"/>
                </c:ext>
              </c:extLst>
            </c:dLbl>
            <c:dLbl>
              <c:idx val="1"/>
              <c:layout>
                <c:manualLayout>
                  <c:x val="-6.3609854218234889E-3"/>
                  <c:y val="4.7618994054374891E-3"/>
                </c:manualLayout>
              </c:layout>
              <c:tx>
                <c:rich>
                  <a:bodyPr/>
                  <a:lstStyle/>
                  <a:p>
                    <a:fld id="{B82182A5-67D8-4C3B-8096-38DF4B40B6DB}" type="VALUE">
                      <a:rPr lang="en-US"/>
                      <a:pPr/>
                      <a:t>[VALOR]</a:t>
                    </a:fld>
                    <a:r>
                      <a:rPr lang="en-US" baseline="0"/>
                      <a:t>; </a:t>
                    </a:r>
                  </a:p>
                  <a:p>
                    <a:fld id="{A88E2E6B-BD43-4F50-B11B-B4BEB1B34818}" type="PERCENTAGE">
                      <a:rPr lang="en-US" baseline="0"/>
                      <a:pPr/>
                      <a:t>[PORCENTAGEM]</a:t>
                    </a:fld>
                    <a:endParaRPr lang="pt-B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43E-4E4E-958D-BAC869EE89FF}"/>
                </c:ext>
              </c:extLst>
            </c:dLbl>
            <c:dLbl>
              <c:idx val="2"/>
              <c:layout>
                <c:manualLayout>
                  <c:x val="1.8206784846234746E-2"/>
                  <c:y val="-9.0476838608730459E-2"/>
                </c:manualLayout>
              </c:layout>
              <c:tx>
                <c:rich>
                  <a:bodyPr/>
                  <a:lstStyle/>
                  <a:p>
                    <a:fld id="{E6E999BE-4204-43D8-858F-A2C005C3EA0C}" type="VALUE">
                      <a:rPr lang="en-US"/>
                      <a:pPr/>
                      <a:t>[VALOR]</a:t>
                    </a:fld>
                    <a:r>
                      <a:rPr lang="en-US" baseline="0"/>
                      <a:t>;</a:t>
                    </a:r>
                  </a:p>
                  <a:p>
                    <a:r>
                      <a:rPr lang="en-US" baseline="0"/>
                      <a:t> </a:t>
                    </a:r>
                    <a:fld id="{6683A091-52E4-4AAD-81FB-E3CFE916CA4A}" type="PERCENTAGE">
                      <a:rPr lang="en-US" baseline="0"/>
                      <a:pPr/>
                      <a:t>[PORCENTAGEM]</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43E-4E4E-958D-BAC869EE89FF}"/>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pt-BR"/>
              </a:p>
            </c:txPr>
            <c:showLegendKey val="0"/>
            <c:showVal val="1"/>
            <c:showCatName val="0"/>
            <c:showSerName val="0"/>
            <c:showPercent val="1"/>
            <c:showBubbleSize val="0"/>
            <c:showLeaderLines val="1"/>
            <c:extLst>
              <c:ext xmlns:c15="http://schemas.microsoft.com/office/drawing/2012/chart" uri="{CE6537A1-D6FC-4f65-9D91-7224C49458BB}"/>
            </c:extLst>
          </c:dLbls>
          <c:cat>
            <c:strRef>
              <c:f>GRAF.!$B$18:$B$20</c:f>
              <c:strCache>
                <c:ptCount val="3"/>
                <c:pt idx="0">
                  <c:v>Nº Empresas de Taió</c:v>
                </c:pt>
                <c:pt idx="1">
                  <c:v>Nº Empresas do Alto Vale</c:v>
                </c:pt>
                <c:pt idx="2">
                  <c:v>Nº Empresas de fora</c:v>
                </c:pt>
              </c:strCache>
            </c:strRef>
          </c:cat>
          <c:val>
            <c:numRef>
              <c:f>GRAF.!$C$18:$C$20</c:f>
              <c:numCache>
                <c:formatCode>General</c:formatCode>
                <c:ptCount val="3"/>
                <c:pt idx="0">
                  <c:v>84</c:v>
                </c:pt>
                <c:pt idx="1">
                  <c:v>54</c:v>
                </c:pt>
                <c:pt idx="2">
                  <c:v>106</c:v>
                </c:pt>
              </c:numCache>
            </c:numRef>
          </c:val>
          <c:extLst>
            <c:ext xmlns:c16="http://schemas.microsoft.com/office/drawing/2014/chart" uri="{C3380CC4-5D6E-409C-BE32-E72D297353CC}">
              <c16:uniqueId val="{00000003-143E-4E4E-958D-BAC869EE89FF}"/>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3185203701389183"/>
          <c:y val="0.21369352878986322"/>
          <c:w val="0.38884900367160768"/>
          <c:h val="0.66308849296382488"/>
        </c:manualLayout>
      </c:layout>
      <c:overlay val="1"/>
      <c:txPr>
        <a:bodyPr/>
        <a:lstStyle/>
        <a:p>
          <a:pPr>
            <a:defRPr sz="1000"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baseline="0">
                <a:solidFill>
                  <a:sysClr val="windowText" lastClr="000000"/>
                </a:solidFill>
                <a:effectLst/>
                <a:latin typeface="Times New Roman" panose="02020603050405020304" pitchFamily="18" charset="0"/>
                <a:cs typeface="Times New Roman" panose="02020603050405020304" pitchFamily="18" charset="0"/>
              </a:rPr>
              <a:t>Valor das empresas vencedoras por região</a:t>
            </a:r>
            <a:endParaRPr lang="pt-BR"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45412565717597947"/>
          <c:y val="3.243997427902406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3.1730176063758456E-2"/>
          <c:y val="0.11667981024713975"/>
          <c:w val="0.39726900013410732"/>
          <c:h val="0.83861098641560405"/>
        </c:manualLayout>
      </c:layout>
      <c:pieChart>
        <c:varyColors val="1"/>
        <c:ser>
          <c:idx val="0"/>
          <c:order val="0"/>
          <c:explosion val="1"/>
          <c:dPt>
            <c:idx val="0"/>
            <c:bubble3D val="0"/>
            <c:explosion val="0"/>
            <c:spPr>
              <a:solidFill>
                <a:schemeClr val="accent1"/>
              </a:solidFill>
              <a:ln w="19050">
                <a:solidFill>
                  <a:schemeClr val="lt1"/>
                </a:solidFill>
              </a:ln>
              <a:effectLst/>
            </c:spPr>
            <c:extLst>
              <c:ext xmlns:c16="http://schemas.microsoft.com/office/drawing/2014/chart" uri="{C3380CC4-5D6E-409C-BE32-E72D297353CC}">
                <c16:uniqueId val="{00000001-BEF1-4FA4-ABC8-3D86ED4A3EEF}"/>
              </c:ext>
            </c:extLst>
          </c:dPt>
          <c:dPt>
            <c:idx val="1"/>
            <c:bubble3D val="0"/>
            <c:explosion val="0"/>
            <c:spPr>
              <a:solidFill>
                <a:schemeClr val="accent2"/>
              </a:solidFill>
              <a:ln w="19050">
                <a:solidFill>
                  <a:schemeClr val="lt1"/>
                </a:solidFill>
              </a:ln>
              <a:effectLst/>
            </c:spPr>
            <c:extLst>
              <c:ext xmlns:c16="http://schemas.microsoft.com/office/drawing/2014/chart" uri="{C3380CC4-5D6E-409C-BE32-E72D297353CC}">
                <c16:uniqueId val="{00000003-BEF1-4FA4-ABC8-3D86ED4A3EEF}"/>
              </c:ext>
            </c:extLst>
          </c:dPt>
          <c:dPt>
            <c:idx val="2"/>
            <c:bubble3D val="0"/>
            <c:explosion val="0"/>
            <c:spPr>
              <a:solidFill>
                <a:schemeClr val="accent3"/>
              </a:solidFill>
              <a:ln w="19050">
                <a:solidFill>
                  <a:schemeClr val="lt1"/>
                </a:solidFill>
              </a:ln>
              <a:effectLst/>
            </c:spPr>
            <c:extLst>
              <c:ext xmlns:c16="http://schemas.microsoft.com/office/drawing/2014/chart" uri="{C3380CC4-5D6E-409C-BE32-E72D297353CC}">
                <c16:uniqueId val="{00000005-BEF1-4FA4-ABC8-3D86ED4A3EEF}"/>
              </c:ext>
            </c:extLst>
          </c:dPt>
          <c:dLbls>
            <c:dLbl>
              <c:idx val="0"/>
              <c:layout>
                <c:manualLayout>
                  <c:x val="-0.14734592026361673"/>
                  <c:y val="-0.14151657663952424"/>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E17C9B6-D960-4F2B-BE44-41A8FEE020B9}" type="VALUE">
                      <a:rPr lang="en-US" sz="100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[VALOR]</a:t>
                    </a:fld>
                    <a:r>
                      <a:rPr lang="en-US" sz="1000" baseline="0">
                        <a:latin typeface="Times New Roman" panose="02020603050405020304" pitchFamily="18" charset="0"/>
                        <a:cs typeface="Times New Roman" panose="02020603050405020304" pitchFamily="18" charset="0"/>
                      </a:rPr>
                      <a:t>; </a:t>
                    </a:r>
                  </a:p>
                  <a:p>
                    <a:pPr>
                      <a:defRPr sz="1000" b="1">
                        <a:solidFill>
                          <a:sysClr val="windowText" lastClr="000000"/>
                        </a:solidFill>
                        <a:latin typeface="Times New Roman" panose="02020603050405020304" pitchFamily="18" charset="0"/>
                        <a:cs typeface="Times New Roman" panose="02020603050405020304" pitchFamily="18" charset="0"/>
                      </a:defRPr>
                    </a:pPr>
                    <a:fld id="{7CBC2BF9-2721-4B6F-A8BC-A24207E08DD9}" type="PERCENTAGE">
                      <a:rPr lang="en-US" sz="1000" baseline="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[PORCENTAGEM]</a:t>
                    </a:fld>
                    <a:endParaRPr lang="pt-B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4332730560578661"/>
                      <c:h val="0.20510721247563352"/>
                    </c:manualLayout>
                  </c15:layout>
                  <c15:dlblFieldTable/>
                  <c15:showDataLabelsRange val="0"/>
                </c:ext>
                <c:ext xmlns:c16="http://schemas.microsoft.com/office/drawing/2014/chart" uri="{C3380CC4-5D6E-409C-BE32-E72D297353CC}">
                  <c16:uniqueId val="{00000001-BEF1-4FA4-ABC8-3D86ED4A3EEF}"/>
                </c:ext>
              </c:extLst>
            </c:dLbl>
            <c:dLbl>
              <c:idx val="1"/>
              <c:layout>
                <c:manualLayout>
                  <c:x val="2.8727704657355784E-4"/>
                  <c:y val="-4.3077405426710742E-2"/>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4138724-6E68-4457-9A3E-5EBC65E04F74}" type="VALUE">
                      <a:rPr lang="en-US" sz="100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[VALOR]</a:t>
                    </a:fld>
                    <a:r>
                      <a:rPr lang="en-US" sz="1000" baseline="0">
                        <a:latin typeface="Times New Roman" panose="02020603050405020304" pitchFamily="18" charset="0"/>
                        <a:cs typeface="Times New Roman" panose="02020603050405020304" pitchFamily="18" charset="0"/>
                      </a:rPr>
                      <a:t>; </a:t>
                    </a:r>
                  </a:p>
                  <a:p>
                    <a:pPr>
                      <a:defRPr sz="1000" b="1">
                        <a:solidFill>
                          <a:sysClr val="windowText" lastClr="000000"/>
                        </a:solidFill>
                        <a:latin typeface="Times New Roman" panose="02020603050405020304" pitchFamily="18" charset="0"/>
                        <a:cs typeface="Times New Roman" panose="02020603050405020304" pitchFamily="18" charset="0"/>
                      </a:defRPr>
                    </a:pPr>
                    <a:fld id="{DE368AD4-7C74-426F-879F-45076BAA27F6}" type="PERCENTAGE">
                      <a:rPr lang="en-US" sz="1000" baseline="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[PORCENTAGEM]</a:t>
                    </a:fld>
                    <a:endParaRPr lang="en-US" sz="1000" baseline="0">
                      <a:latin typeface="Times New Roman" panose="02020603050405020304" pitchFamily="18" charset="0"/>
                      <a:cs typeface="Times New Roman" panose="02020603050405020304" pitchFamily="18" charset="0"/>
                    </a:endParaRPr>
                  </a:p>
                  <a:p>
                    <a:pPr>
                      <a:defRPr sz="1000" b="1">
                        <a:solidFill>
                          <a:sysClr val="windowText" lastClr="000000"/>
                        </a:solidFill>
                        <a:latin typeface="Times New Roman" panose="02020603050405020304" pitchFamily="18" charset="0"/>
                        <a:cs typeface="Times New Roman" panose="02020603050405020304" pitchFamily="18" charset="0"/>
                      </a:defRPr>
                    </a:pPr>
                    <a:endParaRPr lang="pt-B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6020494273658828"/>
                      <c:h val="0.20120857699805067"/>
                    </c:manualLayout>
                  </c15:layout>
                  <c15:dlblFieldTable/>
                  <c15:showDataLabelsRange val="0"/>
                </c:ext>
                <c:ext xmlns:c16="http://schemas.microsoft.com/office/drawing/2014/chart" uri="{C3380CC4-5D6E-409C-BE32-E72D297353CC}">
                  <c16:uniqueId val="{00000003-BEF1-4FA4-ABC8-3D86ED4A3EEF}"/>
                </c:ext>
              </c:extLst>
            </c:dLbl>
            <c:dLbl>
              <c:idx val="2"/>
              <c:layout>
                <c:manualLayout>
                  <c:x val="-0.13177816732762418"/>
                  <c:y val="0.20853457311010185"/>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D668D4B4-6D1D-4F8C-947B-51820BF226AF}" type="VALUE">
                      <a:rPr lang="en-US" sz="100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[VALOR]</a:t>
                    </a:fld>
                    <a:r>
                      <a:rPr lang="en-US" sz="1000" baseline="0">
                        <a:latin typeface="Times New Roman" panose="02020603050405020304" pitchFamily="18" charset="0"/>
                        <a:cs typeface="Times New Roman" panose="02020603050405020304" pitchFamily="18" charset="0"/>
                      </a:rPr>
                      <a:t>; </a:t>
                    </a:r>
                  </a:p>
                  <a:p>
                    <a:pPr>
                      <a:defRPr sz="1000" b="1">
                        <a:solidFill>
                          <a:sysClr val="windowText" lastClr="000000"/>
                        </a:solidFill>
                        <a:latin typeface="Times New Roman" panose="02020603050405020304" pitchFamily="18" charset="0"/>
                        <a:cs typeface="Times New Roman" panose="02020603050405020304" pitchFamily="18" charset="0"/>
                      </a:defRPr>
                    </a:pPr>
                    <a:fld id="{0ECD88CC-FFB6-4F26-A408-48496D3714E3}" type="PERCENTAGE">
                      <a:rPr lang="en-US" sz="1000" baseline="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[PORCENTAGEM]</a:t>
                    </a:fld>
                    <a:endParaRPr lang="pt-B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5779385171790237"/>
                      <c:h val="0.20120857699805067"/>
                    </c:manualLayout>
                  </c15:layout>
                  <c15:dlblFieldTable/>
                  <c15:showDataLabelsRange val="0"/>
                </c:ext>
                <c:ext xmlns:c16="http://schemas.microsoft.com/office/drawing/2014/chart" uri="{C3380CC4-5D6E-409C-BE32-E72D297353CC}">
                  <c16:uniqueId val="{00000005-BEF1-4FA4-ABC8-3D86ED4A3EE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GRAF.!$B$24:$B$26</c:f>
              <c:strCache>
                <c:ptCount val="3"/>
                <c:pt idx="0">
                  <c:v>Valor Empresas de Taió</c:v>
                </c:pt>
                <c:pt idx="1">
                  <c:v>Valor Empresas do Alto Vale</c:v>
                </c:pt>
                <c:pt idx="2">
                  <c:v>Valor Empresas de Fora</c:v>
                </c:pt>
              </c:strCache>
            </c:strRef>
          </c:cat>
          <c:val>
            <c:numRef>
              <c:f>GRAF.!$D$24:$D$26</c:f>
              <c:numCache>
                <c:formatCode>_("R$"* #,##0.00_);_("R$"* \(#,##0.00\);_("R$"* "-"??_);_(@_)</c:formatCode>
                <c:ptCount val="3"/>
                <c:pt idx="0">
                  <c:v>5795730.7100000009</c:v>
                </c:pt>
                <c:pt idx="1">
                  <c:v>9019975.4900000002</c:v>
                </c:pt>
                <c:pt idx="2">
                  <c:v>4906375.91</c:v>
                </c:pt>
              </c:numCache>
            </c:numRef>
          </c:val>
          <c:extLst>
            <c:ext xmlns:c16="http://schemas.microsoft.com/office/drawing/2014/chart" uri="{C3380CC4-5D6E-409C-BE32-E72D297353CC}">
              <c16:uniqueId val="{00000006-BEF1-4FA4-ABC8-3D86ED4A3EEF}"/>
            </c:ext>
          </c:extLst>
        </c:ser>
        <c:dLbls>
          <c:showLegendKey val="0"/>
          <c:showVal val="0"/>
          <c:showCatName val="0"/>
          <c:showSerName val="0"/>
          <c:showPercent val="0"/>
          <c:showBubbleSize val="0"/>
          <c:showLeaderLines val="1"/>
        </c:dLbls>
        <c:firstSliceAng val="80"/>
      </c:pieChart>
      <c:spPr>
        <a:noFill/>
        <a:ln>
          <a:noFill/>
        </a:ln>
        <a:effectLst/>
      </c:spPr>
    </c:plotArea>
    <c:legend>
      <c:legendPos val="r"/>
      <c:layout>
        <c:manualLayout>
          <c:xMode val="edge"/>
          <c:yMode val="edge"/>
          <c:x val="0.5430729735425408"/>
          <c:y val="0.23932483594884807"/>
          <c:w val="0.44371764660804258"/>
          <c:h val="0.5599233440153031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pt-BR" sz="1000">
                <a:latin typeface="Times New Roman" panose="02020603050405020304" pitchFamily="18" charset="0"/>
                <a:cs typeface="Times New Roman" panose="02020603050405020304" pitchFamily="18" charset="0"/>
              </a:rPr>
              <a:t>Áreas</a:t>
            </a:r>
            <a:r>
              <a:rPr lang="pt-BR" sz="1000" baseline="0">
                <a:latin typeface="Times New Roman" panose="02020603050405020304" pitchFamily="18" charset="0"/>
                <a:cs typeface="Times New Roman" panose="02020603050405020304" pitchFamily="18" charset="0"/>
              </a:rPr>
              <a:t> de aplicação dos recursos no ano 2017</a:t>
            </a:r>
            <a:endParaRPr lang="pt-BR" sz="1000">
              <a:latin typeface="Times New Roman" panose="02020603050405020304" pitchFamily="18" charset="0"/>
              <a:cs typeface="Times New Roman" panose="02020603050405020304" pitchFamily="18" charset="0"/>
            </a:endParaRPr>
          </a:p>
        </c:rich>
      </c:tx>
      <c:layout>
        <c:manualLayout>
          <c:xMode val="edge"/>
          <c:yMode val="edge"/>
          <c:x val="0.22458296363320096"/>
          <c:y val="1.4841147138872236E-2"/>
        </c:manualLayout>
      </c:layout>
      <c:overlay val="0"/>
    </c:title>
    <c:autoTitleDeleted val="0"/>
    <c:view3D>
      <c:rotX val="30"/>
      <c:rotY val="128"/>
      <c:rAngAx val="0"/>
    </c:view3D>
    <c:floor>
      <c:thickness val="0"/>
    </c:floor>
    <c:sideWall>
      <c:thickness val="0"/>
    </c:sideWall>
    <c:backWall>
      <c:thickness val="0"/>
    </c:backWall>
    <c:plotArea>
      <c:layout>
        <c:manualLayout>
          <c:layoutTarget val="inner"/>
          <c:xMode val="edge"/>
          <c:yMode val="edge"/>
          <c:x val="3.4302264391993721E-2"/>
          <c:y val="0.18726251984076606"/>
          <c:w val="0.53600958467387694"/>
          <c:h val="0.81273744374679369"/>
        </c:manualLayout>
      </c:layout>
      <c:pie3DChart>
        <c:varyColors val="1"/>
        <c:ser>
          <c:idx val="0"/>
          <c:order val="0"/>
          <c:explosion val="24"/>
          <c:dPt>
            <c:idx val="2"/>
            <c:bubble3D val="0"/>
            <c:explosion val="21"/>
            <c:extLst>
              <c:ext xmlns:c16="http://schemas.microsoft.com/office/drawing/2014/chart" uri="{C3380CC4-5D6E-409C-BE32-E72D297353CC}">
                <c16:uniqueId val="{00000001-5C25-462B-AA5B-2E509AADC603}"/>
              </c:ext>
            </c:extLst>
          </c:dPt>
          <c:dLbls>
            <c:dLbl>
              <c:idx val="0"/>
              <c:layout>
                <c:manualLayout>
                  <c:x val="-2.6138042984126978E-2"/>
                  <c:y val="5.410162952679333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C25-462B-AA5B-2E509AADC603}"/>
                </c:ext>
              </c:extLst>
            </c:dLbl>
            <c:dLbl>
              <c:idx val="1"/>
              <c:layout>
                <c:manualLayout>
                  <c:x val="1.5225920279252111E-3"/>
                  <c:y val="-0.2255943957335403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C25-462B-AA5B-2E509AADC603}"/>
                </c:ext>
              </c:extLst>
            </c:dLbl>
            <c:dLbl>
              <c:idx val="2"/>
              <c:layout>
                <c:manualLayout>
                  <c:x val="0.11370563050256317"/>
                  <c:y val="0.154480370927400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C25-462B-AA5B-2E509AADC603}"/>
                </c:ext>
              </c:extLst>
            </c:dLbl>
            <c:dLbl>
              <c:idx val="3"/>
              <c:layout>
                <c:manualLayout>
                  <c:x val="-2.2799230536475701E-2"/>
                  <c:y val="-0.1581984483405378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C25-462B-AA5B-2E509AADC603}"/>
                </c:ext>
              </c:extLst>
            </c:dLbl>
            <c:dLbl>
              <c:idx val="4"/>
              <c:layout>
                <c:manualLayout>
                  <c:x val="-1.0929566343392513E-5"/>
                  <c:y val="-0.1133444890749395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C25-462B-AA5B-2E509AADC603}"/>
                </c:ext>
              </c:extLst>
            </c:dLbl>
            <c:dLbl>
              <c:idx val="5"/>
              <c:layout>
                <c:manualLayout>
                  <c:x val="1.3983959768434437E-2"/>
                  <c:y val="-0.1651636993453798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C25-462B-AA5B-2E509AADC603}"/>
                </c:ext>
              </c:extLst>
            </c:dLbl>
            <c:dLbl>
              <c:idx val="6"/>
              <c:layout>
                <c:manualLayout>
                  <c:x val="0.11209195094608844"/>
                  <c:y val="-0.1331196524954348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C25-462B-AA5B-2E509AADC603}"/>
                </c:ext>
              </c:extLst>
            </c:dLbl>
            <c:dLbl>
              <c:idx val="7"/>
              <c:layout>
                <c:manualLayout>
                  <c:x val="0.14270011741717195"/>
                  <c:y val="-5.550003166382041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C25-462B-AA5B-2E509AADC603}"/>
                </c:ext>
              </c:extLst>
            </c:dLbl>
            <c:dLbl>
              <c:idx val="8"/>
              <c:layout>
                <c:manualLayout>
                  <c:x val="0.14657120166882709"/>
                  <c:y val="-0.10059322102363007"/>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C25-462B-AA5B-2E509AADC603}"/>
                </c:ext>
              </c:extLst>
            </c:dLbl>
            <c:dLbl>
              <c:idx val="9"/>
              <c:layout>
                <c:manualLayout>
                  <c:x val="0.17102232305074128"/>
                  <c:y val="-2.362381609236140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5C25-462B-AA5B-2E509AADC603}"/>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pt-BR"/>
              </a:p>
            </c:tx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GRAF.!$B$29:$B$32</c:f>
              <c:strCache>
                <c:ptCount val="4"/>
                <c:pt idx="0">
                  <c:v>Assistência social</c:v>
                </c:pt>
                <c:pt idx="1">
                  <c:v>Secretaria da saúde</c:v>
                </c:pt>
                <c:pt idx="2">
                  <c:v>Município de Taió</c:v>
                </c:pt>
                <c:pt idx="3">
                  <c:v>Câmara de vereadores</c:v>
                </c:pt>
              </c:strCache>
            </c:strRef>
          </c:cat>
          <c:val>
            <c:numRef>
              <c:f>GRAF.!$E$29:$E$32</c:f>
              <c:numCache>
                <c:formatCode>_-"R$"\ * #,##0.00_-;\-"R$"\ * #,##0.00_-;_-"R$"\ * "-"??_-;_-@_-</c:formatCode>
                <c:ptCount val="4"/>
                <c:pt idx="0">
                  <c:v>621562.93999999994</c:v>
                </c:pt>
                <c:pt idx="1">
                  <c:v>2243033.0699999998</c:v>
                </c:pt>
                <c:pt idx="2">
                  <c:v>8817578.0700000003</c:v>
                </c:pt>
                <c:pt idx="3">
                  <c:v>20054</c:v>
                </c:pt>
              </c:numCache>
            </c:numRef>
          </c:val>
          <c:extLst>
            <c:ext xmlns:c16="http://schemas.microsoft.com/office/drawing/2014/chart" uri="{C3380CC4-5D6E-409C-BE32-E72D297353CC}">
              <c16:uniqueId val="{0000000B-5C25-462B-AA5B-2E509AADC603}"/>
            </c:ext>
          </c:extLst>
        </c:ser>
        <c:dLbls>
          <c:showLegendKey val="0"/>
          <c:showVal val="0"/>
          <c:showCatName val="0"/>
          <c:showSerName val="0"/>
          <c:showPercent val="0"/>
          <c:showBubbleSize val="0"/>
          <c:showLeaderLines val="1"/>
        </c:dLbls>
      </c:pie3DChart>
    </c:plotArea>
    <c:legend>
      <c:legendPos val="r"/>
      <c:layout>
        <c:manualLayout>
          <c:xMode val="edge"/>
          <c:yMode val="edge"/>
          <c:x val="0.72555959322509589"/>
          <c:y val="0.15040314554413059"/>
          <c:w val="0.255306430570098"/>
          <c:h val="0.70651962634587984"/>
        </c:manualLayout>
      </c:layout>
      <c:overlay val="0"/>
      <c:txPr>
        <a:bodyPr/>
        <a:lstStyle/>
        <a:p>
          <a:pPr>
            <a:defRPr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pt-BR" sz="1000">
                <a:latin typeface="Times New Roman" panose="02020603050405020304" pitchFamily="18" charset="0"/>
                <a:cs typeface="Times New Roman" panose="02020603050405020304" pitchFamily="18" charset="0"/>
              </a:rPr>
              <a:t>Quantidade de empresas ME/EPP vencedoras por região</a:t>
            </a:r>
          </a:p>
        </c:rich>
      </c:tx>
      <c:layout>
        <c:manualLayout>
          <c:xMode val="edge"/>
          <c:yMode val="edge"/>
          <c:x val="0.32969866190039127"/>
          <c:y val="3.4594791652061044E-2"/>
        </c:manualLayout>
      </c:layout>
      <c:overlay val="0"/>
    </c:title>
    <c:autoTitleDeleted val="0"/>
    <c:plotArea>
      <c:layout>
        <c:manualLayout>
          <c:layoutTarget val="inner"/>
          <c:xMode val="edge"/>
          <c:yMode val="edge"/>
          <c:x val="2.4915484874850336E-2"/>
          <c:y val="0.14140807319241627"/>
          <c:w val="0.39185802135743869"/>
          <c:h val="0.82837449948621611"/>
        </c:manualLayout>
      </c:layout>
      <c:doughnutChart>
        <c:varyColors val="1"/>
        <c:ser>
          <c:idx val="0"/>
          <c:order val="0"/>
          <c:dLbls>
            <c:dLbl>
              <c:idx val="0"/>
              <c:layout>
                <c:manualLayout>
                  <c:x val="3.1721449610532106E-6"/>
                  <c:y val="1.9047597621749936E-2"/>
                </c:manualLayout>
              </c:layout>
              <c:tx>
                <c:rich>
                  <a:bodyPr/>
                  <a:lstStyle/>
                  <a:p>
                    <a:fld id="{6C785B2D-7660-4D67-8BA6-69F840D5C1EC}" type="VALUE">
                      <a:rPr lang="en-US"/>
                      <a:pPr/>
                      <a:t>[VALOR]</a:t>
                    </a:fld>
                    <a:r>
                      <a:rPr lang="en-US" baseline="0"/>
                      <a:t>; </a:t>
                    </a:r>
                  </a:p>
                  <a:p>
                    <a:fld id="{75AE61FA-81D5-44C7-AB60-E85B7077F6D7}" type="PERCENTAGE">
                      <a:rPr lang="en-US" baseline="0"/>
                      <a:pPr/>
                      <a:t>[PORCENTAGEM]</a:t>
                    </a:fld>
                    <a:endParaRPr lang="pt-B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B00-4D6A-9CA0-2236316A1161}"/>
                </c:ext>
              </c:extLst>
            </c:dLbl>
            <c:dLbl>
              <c:idx val="1"/>
              <c:layout>
                <c:manualLayout>
                  <c:x val="-6.3609854218234889E-3"/>
                  <c:y val="4.7618994054374891E-3"/>
                </c:manualLayout>
              </c:layout>
              <c:tx>
                <c:rich>
                  <a:bodyPr/>
                  <a:lstStyle/>
                  <a:p>
                    <a:fld id="{B2DCB5EF-DFA9-4A97-A152-6DF89D15CC41}" type="VALUE">
                      <a:rPr lang="en-US"/>
                      <a:pPr/>
                      <a:t>[VALOR]</a:t>
                    </a:fld>
                    <a:r>
                      <a:rPr lang="en-US" baseline="0"/>
                      <a:t>; </a:t>
                    </a:r>
                  </a:p>
                  <a:p>
                    <a:fld id="{3265926C-60D6-42D5-9267-58023F568F34}" type="PERCENTAGE">
                      <a:rPr lang="en-US" baseline="0"/>
                      <a:pPr/>
                      <a:t>[PORCENTAGEM]</a:t>
                    </a:fld>
                    <a:endParaRPr lang="pt-B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B00-4D6A-9CA0-2236316A1161}"/>
                </c:ext>
              </c:extLst>
            </c:dLbl>
            <c:dLbl>
              <c:idx val="2"/>
              <c:layout>
                <c:manualLayout>
                  <c:x val="1.8206784846234746E-2"/>
                  <c:y val="-9.0476838608730459E-2"/>
                </c:manualLayout>
              </c:layout>
              <c:tx>
                <c:rich>
                  <a:bodyPr/>
                  <a:lstStyle/>
                  <a:p>
                    <a:fld id="{32D8E75F-222E-41EB-808C-78DAE404A398}" type="VALUE">
                      <a:rPr lang="en-US"/>
                      <a:pPr/>
                      <a:t>[VALOR]</a:t>
                    </a:fld>
                    <a:r>
                      <a:rPr lang="en-US" baseline="0"/>
                      <a:t>; </a:t>
                    </a:r>
                  </a:p>
                  <a:p>
                    <a:fld id="{D22F9934-A5E5-49CB-8E30-5129309D3ABF}" type="PERCENTAGE">
                      <a:rPr lang="en-US" baseline="0"/>
                      <a:pPr/>
                      <a:t>[PORCENTAGEM]</a:t>
                    </a:fld>
                    <a:endParaRPr lang="pt-B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B00-4D6A-9CA0-2236316A1161}"/>
                </c:ext>
              </c:extLst>
            </c:dLbl>
            <c:spPr>
              <a:noFill/>
              <a:ln>
                <a:noFill/>
              </a:ln>
              <a:effectLst/>
            </c:spPr>
            <c:txPr>
              <a:bodyPr/>
              <a:lstStyle/>
              <a:p>
                <a:pPr>
                  <a:defRPr sz="1000" b="1"/>
                </a:pPr>
                <a:endParaRPr lang="pt-BR"/>
              </a:p>
            </c:txPr>
            <c:showLegendKey val="0"/>
            <c:showVal val="1"/>
            <c:showCatName val="0"/>
            <c:showSerName val="0"/>
            <c:showPercent val="1"/>
            <c:showBubbleSize val="0"/>
            <c:showLeaderLines val="1"/>
            <c:extLst>
              <c:ext xmlns:c15="http://schemas.microsoft.com/office/drawing/2012/chart" uri="{CE6537A1-D6FC-4f65-9D91-7224C49458BB}"/>
            </c:extLst>
          </c:dLbls>
          <c:cat>
            <c:strRef>
              <c:f>GRAF.!$B$50:$B$52</c:f>
              <c:strCache>
                <c:ptCount val="3"/>
                <c:pt idx="0">
                  <c:v>Nº Empresas ME/EPP de Taió</c:v>
                </c:pt>
                <c:pt idx="1">
                  <c:v>Nº Empresas ME/EPP do Alto Vale</c:v>
                </c:pt>
                <c:pt idx="2">
                  <c:v>Nº Empresas ME/EPP de fora</c:v>
                </c:pt>
              </c:strCache>
            </c:strRef>
          </c:cat>
          <c:val>
            <c:numRef>
              <c:f>GRAF.!$C$50:$C$52</c:f>
              <c:numCache>
                <c:formatCode>General</c:formatCode>
                <c:ptCount val="3"/>
                <c:pt idx="0">
                  <c:v>74</c:v>
                </c:pt>
                <c:pt idx="1">
                  <c:v>40</c:v>
                </c:pt>
                <c:pt idx="2">
                  <c:v>82</c:v>
                </c:pt>
              </c:numCache>
            </c:numRef>
          </c:val>
          <c:extLst>
            <c:ext xmlns:c16="http://schemas.microsoft.com/office/drawing/2014/chart" uri="{C3380CC4-5D6E-409C-BE32-E72D297353CC}">
              <c16:uniqueId val="{00000003-2B00-4D6A-9CA0-2236316A1161}"/>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4135307996247761"/>
          <c:y val="0.2950979194250426"/>
          <c:w val="0.42231463846802542"/>
          <c:h val="0.4169910992530893"/>
        </c:manualLayout>
      </c:layout>
      <c:overlay val="1"/>
      <c:txPr>
        <a:bodyPr/>
        <a:lstStyle/>
        <a:p>
          <a:pPr>
            <a:defRPr sz="1000"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Valor das empresas vencedoras ME/EPP por região</a:t>
            </a:r>
          </a:p>
        </c:rich>
      </c:tx>
      <c:layout>
        <c:manualLayout>
          <c:xMode val="edge"/>
          <c:yMode val="edge"/>
          <c:x val="0.38160151011630394"/>
          <c:y val="5.7764558610797191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1.3210015414739824E-2"/>
          <c:y val="0.14383580820756076"/>
          <c:w val="0.37484999560240151"/>
          <c:h val="0.8214633374383986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FB-4454-B623-C0744BD6CE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6FB-4454-B623-C0744BD6CE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6FB-4454-B623-C0744BD6CE51}"/>
              </c:ext>
            </c:extLst>
          </c:dPt>
          <c:dLbls>
            <c:dLbl>
              <c:idx val="0"/>
              <c:layout>
                <c:manualLayout>
                  <c:x val="-0.14322746693700325"/>
                  <c:y val="-9.7859084121988169E-2"/>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fld id="{3FD55932-9AD1-44A2-90FD-F8E5B9A0EF02}" type="VALUE">
                      <a:rPr lang="en-US" sz="1000"/>
                      <a:pPr>
                        <a:defRPr sz="1000" b="1">
                          <a:solidFill>
                            <a:sysClr val="windowText" lastClr="000000"/>
                          </a:solidFill>
                        </a:defRPr>
                      </a:pPr>
                      <a:t>[VALOR]</a:t>
                    </a:fld>
                    <a:r>
                      <a:rPr lang="en-US" sz="1000" baseline="0"/>
                      <a:t>; </a:t>
                    </a:r>
                  </a:p>
                  <a:p>
                    <a:pPr>
                      <a:defRPr sz="1000" b="1">
                        <a:solidFill>
                          <a:sysClr val="windowText" lastClr="000000"/>
                        </a:solidFill>
                      </a:defRPr>
                    </a:pPr>
                    <a:fld id="{A4F841DD-D929-4E90-9128-AD2F7375A5E8}" type="PERCENTAGE">
                      <a:rPr lang="en-US" sz="1000" baseline="0"/>
                      <a:pPr>
                        <a:defRPr sz="1000" b="1">
                          <a:solidFill>
                            <a:sysClr val="windowText" lastClr="000000"/>
                          </a:solidFill>
                        </a:defRPr>
                      </a:pPr>
                      <a:t>[PORCENTAGEM]</a:t>
                    </a:fld>
                    <a:endParaRPr lang="en-US" sz="1000" baseline="0"/>
                  </a:p>
                  <a:p>
                    <a:pPr>
                      <a:defRPr sz="1000" b="1">
                        <a:solidFill>
                          <a:sysClr val="windowText" lastClr="000000"/>
                        </a:solidFill>
                      </a:defRPr>
                    </a:pPr>
                    <a:endParaRPr lang="pt-B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4278965129358829"/>
                      <c:h val="0.23469758981355163"/>
                    </c:manualLayout>
                  </c15:layout>
                  <c15:dlblFieldTable/>
                  <c15:showDataLabelsRange val="0"/>
                </c:ext>
                <c:ext xmlns:c16="http://schemas.microsoft.com/office/drawing/2014/chart" uri="{C3380CC4-5D6E-409C-BE32-E72D297353CC}">
                  <c16:uniqueId val="{00000001-26FB-4454-B623-C0744BD6CE51}"/>
                </c:ext>
              </c:extLst>
            </c:dLbl>
            <c:dLbl>
              <c:idx val="1"/>
              <c:layout>
                <c:manualLayout>
                  <c:x val="1.1878601205762057E-2"/>
                  <c:y val="4.9474170435380431E-2"/>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fld id="{CE26B74C-85D4-474E-ADCE-C8F4B0D98942}" type="VALUE">
                      <a:rPr lang="en-US" sz="1000"/>
                      <a:pPr>
                        <a:defRPr sz="1000" b="1">
                          <a:solidFill>
                            <a:sysClr val="windowText" lastClr="000000"/>
                          </a:solidFill>
                        </a:defRPr>
                      </a:pPr>
                      <a:t>[VALOR]</a:t>
                    </a:fld>
                    <a:r>
                      <a:rPr lang="en-US" sz="1000" baseline="0"/>
                      <a:t>; </a:t>
                    </a:r>
                  </a:p>
                  <a:p>
                    <a:pPr>
                      <a:defRPr sz="1000" b="1">
                        <a:solidFill>
                          <a:sysClr val="windowText" lastClr="000000"/>
                        </a:solidFill>
                      </a:defRPr>
                    </a:pPr>
                    <a:fld id="{1DC9819E-7412-4FC4-8A85-29CA4633FBF3}" type="PERCENTAGE">
                      <a:rPr lang="en-US" sz="1000" baseline="0"/>
                      <a:pPr>
                        <a:defRPr sz="1000" b="1">
                          <a:solidFill>
                            <a:sysClr val="windowText" lastClr="000000"/>
                          </a:solidFill>
                        </a:defRPr>
                      </a:pPr>
                      <a:t>[PORCENTAGEM]</a:t>
                    </a:fld>
                    <a:endParaRPr lang="pt-B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5280691765381175"/>
                      <c:h val="0.2392451114142792"/>
                    </c:manualLayout>
                  </c15:layout>
                  <c15:dlblFieldTable/>
                  <c15:showDataLabelsRange val="0"/>
                </c:ext>
                <c:ext xmlns:c16="http://schemas.microsoft.com/office/drawing/2014/chart" uri="{C3380CC4-5D6E-409C-BE32-E72D297353CC}">
                  <c16:uniqueId val="{00000003-26FB-4454-B623-C0744BD6CE51}"/>
                </c:ext>
              </c:extLst>
            </c:dLbl>
            <c:dLbl>
              <c:idx val="2"/>
              <c:layout>
                <c:manualLayout>
                  <c:x val="-0.11903634092982476"/>
                  <c:y val="0.22369867477342958"/>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fld id="{7B6CC603-6B54-4B9F-8B08-6A254A805EC9}" type="VALUE">
                      <a:rPr lang="en-US" sz="1000"/>
                      <a:pPr>
                        <a:defRPr sz="1000" b="1">
                          <a:solidFill>
                            <a:sysClr val="windowText" lastClr="000000"/>
                          </a:solidFill>
                        </a:defRPr>
                      </a:pPr>
                      <a:t>[VALOR]</a:t>
                    </a:fld>
                    <a:r>
                      <a:rPr lang="en-US" sz="1000" baseline="0"/>
                      <a:t>;</a:t>
                    </a:r>
                  </a:p>
                  <a:p>
                    <a:pPr>
                      <a:defRPr sz="1000" b="1">
                        <a:solidFill>
                          <a:sysClr val="windowText" lastClr="000000"/>
                        </a:solidFill>
                      </a:defRPr>
                    </a:pPr>
                    <a:r>
                      <a:rPr lang="en-US" sz="1000" baseline="0"/>
                      <a:t> </a:t>
                    </a:r>
                    <a:fld id="{793AB4FA-7DEA-4509-83A6-1C3A3619A627}" type="PERCENTAGE">
                      <a:rPr lang="en-US" sz="1000" baseline="0"/>
                      <a:pPr>
                        <a:defRPr sz="1000" b="1">
                          <a:solidFill>
                            <a:sysClr val="windowText" lastClr="000000"/>
                          </a:solidFill>
                        </a:defRPr>
                      </a:pPr>
                      <a:t>[PORCENTAGEM]</a:t>
                    </a:fld>
                    <a:endParaRPr lang="en-US" sz="1000"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3604049493813273"/>
                      <c:h val="0.2392451114142792"/>
                    </c:manualLayout>
                  </c15:layout>
                  <c15:dlblFieldTable/>
                  <c15:showDataLabelsRange val="0"/>
                </c:ext>
                <c:ext xmlns:c16="http://schemas.microsoft.com/office/drawing/2014/chart" uri="{C3380CC4-5D6E-409C-BE32-E72D297353CC}">
                  <c16:uniqueId val="{00000005-26FB-4454-B623-C0744BD6CE5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GRAF.!$B$73:$B$75</c:f>
              <c:strCache>
                <c:ptCount val="3"/>
                <c:pt idx="0">
                  <c:v>Valor Empresas ME/EPP de Taió</c:v>
                </c:pt>
                <c:pt idx="1">
                  <c:v>Valor Empresas ME/EPP do Alto Vale</c:v>
                </c:pt>
                <c:pt idx="2">
                  <c:v>Valor Empresas ME/EPP de Fora</c:v>
                </c:pt>
              </c:strCache>
            </c:strRef>
          </c:cat>
          <c:val>
            <c:numRef>
              <c:f>GRAF.!$D$73:$D$75</c:f>
              <c:numCache>
                <c:formatCode>_("R$"* #,##0.00_);_("R$"* \(#,##0.00\);_("R$"* "-"??_);_(@_)</c:formatCode>
                <c:ptCount val="3"/>
                <c:pt idx="0">
                  <c:v>4500491.1399999997</c:v>
                </c:pt>
                <c:pt idx="1">
                  <c:v>7489911.1799999997</c:v>
                </c:pt>
                <c:pt idx="2">
                  <c:v>3202946.3600000003</c:v>
                </c:pt>
              </c:numCache>
            </c:numRef>
          </c:val>
          <c:extLst>
            <c:ext xmlns:c16="http://schemas.microsoft.com/office/drawing/2014/chart" uri="{C3380CC4-5D6E-409C-BE32-E72D297353CC}">
              <c16:uniqueId val="{00000006-26FB-4454-B623-C0744BD6CE51}"/>
            </c:ext>
          </c:extLst>
        </c:ser>
        <c:dLbls>
          <c:dLblPos val="ctr"/>
          <c:showLegendKey val="0"/>
          <c:showVal val="0"/>
          <c:showCatName val="0"/>
          <c:showSerName val="0"/>
          <c:showPercent val="1"/>
          <c:showBubbleSize val="0"/>
          <c:showLeaderLines val="1"/>
        </c:dLbls>
        <c:firstSliceAng val="75"/>
      </c:pieChart>
      <c:spPr>
        <a:noFill/>
        <a:ln>
          <a:noFill/>
        </a:ln>
        <a:effectLst/>
      </c:spPr>
    </c:plotArea>
    <c:legend>
      <c:legendPos val="r"/>
      <c:layout>
        <c:manualLayout>
          <c:xMode val="edge"/>
          <c:yMode val="edge"/>
          <c:x val="0.53383012308646605"/>
          <c:y val="0.29701574600263347"/>
          <c:w val="0.41803811560591964"/>
          <c:h val="0.4275326003275637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pt-BR" sz="1000" b="1" i="0" baseline="0">
                <a:effectLst/>
                <a:latin typeface="Times New Roman" panose="02020603050405020304" pitchFamily="18" charset="0"/>
                <a:cs typeface="Times New Roman" panose="02020603050405020304" pitchFamily="18" charset="0"/>
              </a:rPr>
              <a:t>Valor total/economia - ano 2020</a:t>
            </a:r>
            <a:endParaRPr lang="pt-BR" sz="1000">
              <a:effectLst/>
              <a:latin typeface="Times New Roman" panose="02020603050405020304" pitchFamily="18" charset="0"/>
              <a:cs typeface="Times New Roman" panose="02020603050405020304" pitchFamily="18" charset="0"/>
            </a:endParaRPr>
          </a:p>
        </c:rich>
      </c:tx>
      <c:layout>
        <c:manualLayout>
          <c:xMode val="edge"/>
          <c:yMode val="edge"/>
          <c:x val="0.50702350001382412"/>
          <c:y val="6.1151287088434134E-2"/>
        </c:manualLayout>
      </c:layout>
      <c:overlay val="0"/>
    </c:title>
    <c:autoTitleDeleted val="0"/>
    <c:view3D>
      <c:rotX val="30"/>
      <c:rotY val="145"/>
      <c:rAngAx val="0"/>
    </c:view3D>
    <c:floor>
      <c:thickness val="0"/>
    </c:floor>
    <c:sideWall>
      <c:thickness val="0"/>
    </c:sideWall>
    <c:backWall>
      <c:thickness val="0"/>
    </c:backWall>
    <c:plotArea>
      <c:layout>
        <c:manualLayout>
          <c:layoutTarget val="inner"/>
          <c:xMode val="edge"/>
          <c:yMode val="edge"/>
          <c:x val="3.5931944677128126E-3"/>
          <c:y val="0.1593473827328348"/>
          <c:w val="0.62263639917350755"/>
          <c:h val="0.83751050493263457"/>
        </c:manualLayout>
      </c:layout>
      <c:pie3DChart>
        <c:varyColors val="1"/>
        <c:ser>
          <c:idx val="0"/>
          <c:order val="0"/>
          <c:dPt>
            <c:idx val="0"/>
            <c:bubble3D val="0"/>
            <c:explosion val="52"/>
            <c:extLst>
              <c:ext xmlns:c16="http://schemas.microsoft.com/office/drawing/2014/chart" uri="{C3380CC4-5D6E-409C-BE32-E72D297353CC}">
                <c16:uniqueId val="{00000001-D1BF-43C2-AC6B-DB7C9159900F}"/>
              </c:ext>
            </c:extLst>
          </c:dPt>
          <c:dPt>
            <c:idx val="1"/>
            <c:bubble3D val="0"/>
            <c:explosion val="4"/>
            <c:extLst>
              <c:ext xmlns:c16="http://schemas.microsoft.com/office/drawing/2014/chart" uri="{C3380CC4-5D6E-409C-BE32-E72D297353CC}">
                <c16:uniqueId val="{00000002-D1BF-43C2-AC6B-DB7C9159900F}"/>
              </c:ext>
            </c:extLst>
          </c:dPt>
          <c:dLbls>
            <c:dLbl>
              <c:idx val="0"/>
              <c:layout>
                <c:manualLayout>
                  <c:x val="1.4934972436409453E-2"/>
                  <c:y val="1.3026527728779363E-2"/>
                </c:manualLayout>
              </c:layout>
              <c:tx>
                <c:rich>
                  <a:bodyPr/>
                  <a:lstStyle/>
                  <a:p>
                    <a:fld id="{6252FAD4-6CAB-44F3-9B2A-A0AB77A623F4}" type="VALUE">
                      <a:rPr lang="en-US" sz="1000"/>
                      <a:pPr/>
                      <a:t>[VALOR]</a:t>
                    </a:fld>
                    <a:r>
                      <a:rPr lang="en-US" sz="1000" baseline="0"/>
                      <a:t>; </a:t>
                    </a:r>
                  </a:p>
                  <a:p>
                    <a:fld id="{99A3318C-BB16-46C2-B8F8-5C3440F54E60}" type="PERCENTAGE">
                      <a:rPr lang="en-US" sz="1000" baseline="0"/>
                      <a:pPr/>
                      <a:t>[PORCENTAGEM]</a:t>
                    </a:fld>
                    <a:endParaRPr lang="pt-BR"/>
                  </a:p>
                </c:rich>
              </c:tx>
              <c:showLegendKey val="0"/>
              <c:showVal val="1"/>
              <c:showCatName val="0"/>
              <c:showSerName val="0"/>
              <c:showPercent val="1"/>
              <c:showBubbleSize val="0"/>
              <c:extLst>
                <c:ext xmlns:c15="http://schemas.microsoft.com/office/drawing/2012/chart" uri="{CE6537A1-D6FC-4f65-9D91-7224C49458BB}">
                  <c15:layout>
                    <c:manualLayout>
                      <c:w val="0.26730273077567429"/>
                      <c:h val="0.33299705352922832"/>
                    </c:manualLayout>
                  </c15:layout>
                  <c15:dlblFieldTable/>
                  <c15:showDataLabelsRange val="0"/>
                </c:ext>
                <c:ext xmlns:c16="http://schemas.microsoft.com/office/drawing/2014/chart" uri="{C3380CC4-5D6E-409C-BE32-E72D297353CC}">
                  <c16:uniqueId val="{00000001-D1BF-43C2-AC6B-DB7C9159900F}"/>
                </c:ext>
              </c:extLst>
            </c:dLbl>
            <c:dLbl>
              <c:idx val="1"/>
              <c:layout>
                <c:manualLayout>
                  <c:x val="-7.5638670166229313E-2"/>
                  <c:y val="-0.15421103971199002"/>
                </c:manualLayout>
              </c:layout>
              <c:tx>
                <c:rich>
                  <a:bodyPr/>
                  <a:lstStyle/>
                  <a:p>
                    <a:fld id="{36CA530B-477B-4A2B-BA67-899F05AF3DF3}" type="VALUE">
                      <a:rPr lang="en-US" sz="1000"/>
                      <a:pPr/>
                      <a:t>[VALOR]</a:t>
                    </a:fld>
                    <a:r>
                      <a:rPr lang="en-US" sz="1000" baseline="0"/>
                      <a:t>;</a:t>
                    </a:r>
                  </a:p>
                  <a:p>
                    <a:r>
                      <a:rPr lang="en-US" sz="1000" baseline="0"/>
                      <a:t> </a:t>
                    </a:r>
                    <a:fld id="{AF521A0E-0BF6-4972-8C97-50992E4E287E}" type="PERCENTAGE">
                      <a:rPr lang="en-US" sz="1000" baseline="0"/>
                      <a:pPr/>
                      <a:t>[PORCENTAGEM]</a:t>
                    </a:fld>
                    <a:endParaRPr lang="en-US" sz="1000" baseline="0"/>
                  </a:p>
                </c:rich>
              </c:tx>
              <c:showLegendKey val="0"/>
              <c:showVal val="1"/>
              <c:showCatName val="0"/>
              <c:showSerName val="0"/>
              <c:showPercent val="1"/>
              <c:showBubbleSize val="0"/>
              <c:extLst>
                <c:ext xmlns:c15="http://schemas.microsoft.com/office/drawing/2012/chart" uri="{CE6537A1-D6FC-4f65-9D91-7224C49458BB}">
                  <c15:layout>
                    <c:manualLayout>
                      <c:w val="0.25430799873420074"/>
                      <c:h val="0.2876153699178407"/>
                    </c:manualLayout>
                  </c15:layout>
                  <c15:dlblFieldTable/>
                  <c15:showDataLabelsRange val="0"/>
                </c:ext>
                <c:ext xmlns:c16="http://schemas.microsoft.com/office/drawing/2014/chart" uri="{C3380CC4-5D6E-409C-BE32-E72D297353CC}">
                  <c16:uniqueId val="{00000002-D1BF-43C2-AC6B-DB7C9159900F}"/>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pt-BR"/>
              </a:p>
            </c:txPr>
            <c:showLegendKey val="0"/>
            <c:showVal val="1"/>
            <c:showCatName val="0"/>
            <c:showSerName val="0"/>
            <c:showPercent val="1"/>
            <c:showBubbleSize val="0"/>
            <c:showLeaderLines val="1"/>
            <c:extLst>
              <c:ext xmlns:c15="http://schemas.microsoft.com/office/drawing/2012/chart" uri="{CE6537A1-D6FC-4f65-9D91-7224C49458BB}"/>
            </c:extLst>
          </c:dLbls>
          <c:cat>
            <c:strRef>
              <c:f>GRAF.!$B$9:$B$10</c:f>
              <c:strCache>
                <c:ptCount val="2"/>
                <c:pt idx="0">
                  <c:v>Homologados</c:v>
                </c:pt>
                <c:pt idx="1">
                  <c:v>Diferença/economia</c:v>
                </c:pt>
              </c:strCache>
            </c:strRef>
          </c:cat>
          <c:val>
            <c:numRef>
              <c:f>GRAF.!$C$9:$C$10</c:f>
              <c:numCache>
                <c:formatCode>_("R$"* #,##0.00_);_("R$"* \(#,##0.00\);_("R$"* "-"??_);_(@_)</c:formatCode>
                <c:ptCount val="2"/>
                <c:pt idx="0">
                  <c:v>19289176.650000002</c:v>
                </c:pt>
                <c:pt idx="1">
                  <c:v>4752844.4969999976</c:v>
                </c:pt>
              </c:numCache>
            </c:numRef>
          </c:val>
          <c:extLst>
            <c:ext xmlns:c16="http://schemas.microsoft.com/office/drawing/2014/chart" uri="{C3380CC4-5D6E-409C-BE32-E72D297353CC}">
              <c16:uniqueId val="{00000003-D1BF-43C2-AC6B-DB7C9159900F}"/>
            </c:ext>
          </c:extLst>
        </c:ser>
        <c:dLbls>
          <c:showLegendKey val="0"/>
          <c:showVal val="0"/>
          <c:showCatName val="0"/>
          <c:showSerName val="0"/>
          <c:showPercent val="0"/>
          <c:showBubbleSize val="0"/>
          <c:showLeaderLines val="1"/>
        </c:dLbls>
      </c:pie3DChart>
    </c:plotArea>
    <c:legend>
      <c:legendPos val="r"/>
      <c:layout>
        <c:manualLayout>
          <c:xMode val="edge"/>
          <c:yMode val="edge"/>
          <c:x val="0.66104819344390464"/>
          <c:y val="0.31329643447866096"/>
          <c:w val="0.31006515143053925"/>
          <c:h val="0.33222882853928976"/>
        </c:manualLayout>
      </c:layout>
      <c:overlay val="0"/>
      <c:txPr>
        <a:bodyPr/>
        <a:lstStyle/>
        <a:p>
          <a:pPr>
            <a:defRPr sz="1000"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pt-BR" sz="1000" b="1" i="0" baseline="0">
                <a:effectLst/>
                <a:latin typeface="Times New Roman" panose="02020603050405020304" pitchFamily="18" charset="0"/>
                <a:cs typeface="Times New Roman" panose="02020603050405020304" pitchFamily="18" charset="0"/>
              </a:rPr>
              <a:t>Áreas de aplicação dos recursos ano2020</a:t>
            </a:r>
            <a:endParaRPr lang="pt-BR" sz="1000">
              <a:effectLst/>
              <a:latin typeface="Times New Roman" panose="02020603050405020304" pitchFamily="18" charset="0"/>
              <a:cs typeface="Times New Roman" panose="02020603050405020304" pitchFamily="18" charset="0"/>
            </a:endParaRPr>
          </a:p>
        </c:rich>
      </c:tx>
      <c:layout>
        <c:manualLayout>
          <c:xMode val="edge"/>
          <c:yMode val="edge"/>
          <c:x val="0.30456795328283126"/>
          <c:y val="3.4996027353850254E-2"/>
        </c:manualLayout>
      </c:layout>
      <c:overlay val="0"/>
    </c:title>
    <c:autoTitleDeleted val="0"/>
    <c:view3D>
      <c:rotX val="30"/>
      <c:rotY val="190"/>
      <c:rAngAx val="0"/>
    </c:view3D>
    <c:floor>
      <c:thickness val="0"/>
    </c:floor>
    <c:sideWall>
      <c:thickness val="0"/>
    </c:sideWall>
    <c:backWall>
      <c:thickness val="0"/>
    </c:backWall>
    <c:plotArea>
      <c:layout>
        <c:manualLayout>
          <c:layoutTarget val="inner"/>
          <c:xMode val="edge"/>
          <c:yMode val="edge"/>
          <c:x val="6.8397897367474909E-3"/>
          <c:y val="9.0734931883279218E-2"/>
          <c:w val="0.72668404092189942"/>
          <c:h val="0.90926506811672081"/>
        </c:manualLayout>
      </c:layout>
      <c:pie3DChart>
        <c:varyColors val="1"/>
        <c:ser>
          <c:idx val="0"/>
          <c:order val="0"/>
          <c:explosion val="38"/>
          <c:dLbls>
            <c:dLbl>
              <c:idx val="0"/>
              <c:layout>
                <c:manualLayout>
                  <c:x val="2.2515631144587503E-2"/>
                  <c:y val="0.1519942071317800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6A0-4191-A625-E6C381C1BFFF}"/>
                </c:ext>
              </c:extLst>
            </c:dLbl>
            <c:dLbl>
              <c:idx val="1"/>
              <c:layout>
                <c:manualLayout>
                  <c:x val="5.0273760227779608E-2"/>
                  <c:y val="-4.468316041989109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6A0-4191-A625-E6C381C1BFFF}"/>
                </c:ext>
              </c:extLst>
            </c:dLbl>
            <c:dLbl>
              <c:idx val="2"/>
              <c:layout>
                <c:manualLayout>
                  <c:x val="-0.16927542413344257"/>
                  <c:y val="2.813705093406938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6A0-4191-A625-E6C381C1BFFF}"/>
                </c:ext>
              </c:extLst>
            </c:dLbl>
            <c:dLbl>
              <c:idx val="3"/>
              <c:layout>
                <c:manualLayout>
                  <c:x val="-0.11015100075788556"/>
                  <c:y val="-0.16706974864401891"/>
                </c:manualLayout>
              </c:layout>
              <c:spPr>
                <a:noFill/>
                <a:ln>
                  <a:noFill/>
                </a:ln>
                <a:effectLst/>
              </c:spPr>
              <c:txPr>
                <a:bodyPr wrap="square" lIns="38100" tIns="19050" rIns="38100" bIns="19050" anchor="ctr">
                  <a:noAutofit/>
                </a:bodyPr>
                <a:lstStyle/>
                <a:p>
                  <a:pPr>
                    <a:defRPr b="1">
                      <a:latin typeface="Times New Roman" panose="02020603050405020304" pitchFamily="18" charset="0"/>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0594726480944844"/>
                      <c:h val="0.11276497702907304"/>
                    </c:manualLayout>
                  </c15:layout>
                </c:ext>
                <c:ext xmlns:c16="http://schemas.microsoft.com/office/drawing/2014/chart" uri="{C3380CC4-5D6E-409C-BE32-E72D297353CC}">
                  <c16:uniqueId val="{00000003-66A0-4191-A625-E6C381C1BFFF}"/>
                </c:ext>
              </c:extLst>
            </c:dLbl>
            <c:dLbl>
              <c:idx val="4"/>
              <c:layout>
                <c:manualLayout>
                  <c:x val="-1.0929566343392513E-5"/>
                  <c:y val="-0.1133444890749395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6A0-4191-A625-E6C381C1BFFF}"/>
                </c:ext>
              </c:extLst>
            </c:dLbl>
            <c:dLbl>
              <c:idx val="5"/>
              <c:layout>
                <c:manualLayout>
                  <c:x val="1.3983959768434437E-2"/>
                  <c:y val="-0.1651636993453798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6A0-4191-A625-E6C381C1BFFF}"/>
                </c:ext>
              </c:extLst>
            </c:dLbl>
            <c:dLbl>
              <c:idx val="6"/>
              <c:layout>
                <c:manualLayout>
                  <c:x val="0.11209195094608844"/>
                  <c:y val="-0.1331196524954348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6A0-4191-A625-E6C381C1BFFF}"/>
                </c:ext>
              </c:extLst>
            </c:dLbl>
            <c:dLbl>
              <c:idx val="7"/>
              <c:layout>
                <c:manualLayout>
                  <c:x val="0.14270011741717195"/>
                  <c:y val="-5.550003166382041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6A0-4191-A625-E6C381C1BFFF}"/>
                </c:ext>
              </c:extLst>
            </c:dLbl>
            <c:dLbl>
              <c:idx val="8"/>
              <c:layout>
                <c:manualLayout>
                  <c:x val="0.14657120166882709"/>
                  <c:y val="-0.10059322102363007"/>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6A0-4191-A625-E6C381C1BFFF}"/>
                </c:ext>
              </c:extLst>
            </c:dLbl>
            <c:dLbl>
              <c:idx val="9"/>
              <c:layout>
                <c:manualLayout>
                  <c:x val="0.17102232305074128"/>
                  <c:y val="-2.362381609236140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6A0-4191-A625-E6C381C1BFFF}"/>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pt-BR"/>
              </a:p>
            </c:tx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GRAF.!$B$29:$B$32</c:f>
              <c:strCache>
                <c:ptCount val="4"/>
                <c:pt idx="0">
                  <c:v>Município de Taió</c:v>
                </c:pt>
                <c:pt idx="1">
                  <c:v>Instituto de previdência social</c:v>
                </c:pt>
                <c:pt idx="2">
                  <c:v>Fundo municipal de assistência social</c:v>
                </c:pt>
                <c:pt idx="3">
                  <c:v>Fundo municipal de saúde</c:v>
                </c:pt>
              </c:strCache>
            </c:strRef>
          </c:cat>
          <c:val>
            <c:numRef>
              <c:f>GRAF.!$D$29:$D$32</c:f>
              <c:numCache>
                <c:formatCode>_-"R$"\ * #,##0.00_-;\-"R$"\ * #,##0.00_-;_-"R$"\ * "-"??_-;_-@_-</c:formatCode>
                <c:ptCount val="4"/>
                <c:pt idx="0">
                  <c:v>17962215.440000001</c:v>
                </c:pt>
                <c:pt idx="1">
                  <c:v>145075.16</c:v>
                </c:pt>
                <c:pt idx="2">
                  <c:v>159429.1</c:v>
                </c:pt>
                <c:pt idx="3">
                  <c:v>1027335.45</c:v>
                </c:pt>
              </c:numCache>
            </c:numRef>
          </c:val>
          <c:extLst>
            <c:ext xmlns:c16="http://schemas.microsoft.com/office/drawing/2014/chart" uri="{C3380CC4-5D6E-409C-BE32-E72D297353CC}">
              <c16:uniqueId val="{0000000A-66A0-4191-A625-E6C381C1BFFF}"/>
            </c:ext>
          </c:extLst>
        </c:ser>
        <c:dLbls>
          <c:showLegendKey val="0"/>
          <c:showVal val="0"/>
          <c:showCatName val="0"/>
          <c:showSerName val="0"/>
          <c:showPercent val="0"/>
          <c:showBubbleSize val="0"/>
          <c:showLeaderLines val="1"/>
        </c:dLbls>
      </c:pie3DChart>
    </c:plotArea>
    <c:legend>
      <c:legendPos val="r"/>
      <c:layout>
        <c:manualLayout>
          <c:xMode val="edge"/>
          <c:yMode val="edge"/>
          <c:x val="0.72477565475484484"/>
          <c:y val="0.11769471845379623"/>
          <c:w val="0.255306430570098"/>
          <c:h val="0.74395540274685601"/>
        </c:manualLayout>
      </c:layout>
      <c:overlay val="0"/>
      <c:txPr>
        <a:bodyPr/>
        <a:lstStyle/>
        <a:p>
          <a:pPr>
            <a:defRPr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b="1">
                <a:solidFill>
                  <a:sysClr val="windowText" lastClr="000000"/>
                </a:solidFill>
                <a:latin typeface="Times New Roman" panose="02020603050405020304" pitchFamily="18" charset="0"/>
                <a:cs typeface="Times New Roman" panose="02020603050405020304" pitchFamily="18" charset="0"/>
              </a:rPr>
              <a:t>Percentual de cada modalidade de licitação</a:t>
            </a:r>
          </a:p>
        </c:rich>
      </c:tx>
      <c:layout>
        <c:manualLayout>
          <c:xMode val="edge"/>
          <c:yMode val="edge"/>
          <c:x val="0.5063850567696252"/>
          <c:y val="3.3618859139933704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2.0532107510909753E-2"/>
          <c:y val="0.1203352923130598"/>
          <c:w val="0.51528117552241803"/>
          <c:h val="0.8648429770569706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ED-46AC-B549-D889DF9E0B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ED-46AC-B549-D889DF9E0B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ED-46AC-B549-D889DF9E0B8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3ED-46AC-B549-D889DF9E0B8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3ED-46AC-B549-D889DF9E0B8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3ED-46AC-B549-D889DF9E0B8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3ED-46AC-B549-D889DF9E0B8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3ED-46AC-B549-D889DF9E0B80}"/>
              </c:ext>
            </c:extLst>
          </c:dPt>
          <c:dLbls>
            <c:dLbl>
              <c:idx val="0"/>
              <c:tx>
                <c:rich>
                  <a:bodyPr/>
                  <a:lstStyle/>
                  <a:p>
                    <a:fld id="{C1968676-89BB-48F5-B740-566E42256E2A}" type="VALUE">
                      <a:rPr lang="en-US"/>
                      <a:pPr/>
                      <a:t>[VALOR]</a:t>
                    </a:fld>
                    <a:r>
                      <a:rPr lang="en-US" baseline="0"/>
                      <a:t>;</a:t>
                    </a:r>
                  </a:p>
                  <a:p>
                    <a:r>
                      <a:rPr lang="en-US" baseline="0"/>
                      <a:t> </a:t>
                    </a:r>
                    <a:fld id="{7A1D6B43-C12A-4311-A17B-529AB89EC2D7}" type="PERCENTAGE">
                      <a:rPr lang="en-US" baseline="0"/>
                      <a:pPr/>
                      <a:t>[PORCENTAGEM]</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3ED-46AC-B549-D889DF9E0B80}"/>
                </c:ext>
              </c:extLst>
            </c:dLbl>
            <c:dLbl>
              <c:idx val="1"/>
              <c:tx>
                <c:rich>
                  <a:bodyPr/>
                  <a:lstStyle/>
                  <a:p>
                    <a:fld id="{9C681BA0-011B-4A9B-A572-1BD3E449AD80}" type="VALUE">
                      <a:rPr lang="en-US"/>
                      <a:pPr/>
                      <a:t>[VALOR]</a:t>
                    </a:fld>
                    <a:r>
                      <a:rPr lang="en-US" baseline="0"/>
                      <a:t>;</a:t>
                    </a:r>
                  </a:p>
                  <a:p>
                    <a:r>
                      <a:rPr lang="en-US" baseline="0"/>
                      <a:t> </a:t>
                    </a:r>
                    <a:fld id="{4F579265-5135-40D1-9546-ABFBA76165C1}" type="PERCENTAGE">
                      <a:rPr lang="en-US" baseline="0"/>
                      <a:pPr/>
                      <a:t>[PORCENTAGEM]</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3ED-46AC-B549-D889DF9E0B80}"/>
                </c:ext>
              </c:extLst>
            </c:dLbl>
            <c:dLbl>
              <c:idx val="2"/>
              <c:tx>
                <c:rich>
                  <a:bodyPr/>
                  <a:lstStyle/>
                  <a:p>
                    <a:fld id="{15A102BF-F9BB-4CF4-AA34-D0E57B7B4806}" type="VALUE">
                      <a:rPr lang="en-US"/>
                      <a:pPr/>
                      <a:t>[VALOR]</a:t>
                    </a:fld>
                    <a:r>
                      <a:rPr lang="en-US" baseline="0"/>
                      <a:t>; </a:t>
                    </a:r>
                  </a:p>
                  <a:p>
                    <a:fld id="{26B8A879-DD1E-469C-A0C3-DDB22AE3ED09}" type="PERCENTAGE">
                      <a:rPr lang="en-US" baseline="0"/>
                      <a:pPr/>
                      <a:t>[PORCENTAGEM]</a:t>
                    </a:fld>
                    <a:endParaRPr lang="pt-B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3ED-46AC-B549-D889DF9E0B80}"/>
                </c:ext>
              </c:extLst>
            </c:dLbl>
            <c:dLbl>
              <c:idx val="3"/>
              <c:tx>
                <c:rich>
                  <a:bodyPr/>
                  <a:lstStyle/>
                  <a:p>
                    <a:fld id="{5FE809FE-2086-418E-A725-784AA37AA5F8}" type="VALUE">
                      <a:rPr lang="en-US"/>
                      <a:pPr/>
                      <a:t>[VALOR]</a:t>
                    </a:fld>
                    <a:r>
                      <a:rPr lang="en-US" baseline="0"/>
                      <a:t>;</a:t>
                    </a:r>
                  </a:p>
                  <a:p>
                    <a:r>
                      <a:rPr lang="en-US" baseline="0"/>
                      <a:t> </a:t>
                    </a:r>
                    <a:fld id="{0FA2D1F1-025E-4872-8B9D-0A191CB6334B}" type="PERCENTAGE">
                      <a:rPr lang="en-US" baseline="0"/>
                      <a:pPr/>
                      <a:t>[PORCENTAGEM]</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3ED-46AC-B549-D889DF9E0B80}"/>
                </c:ext>
              </c:extLst>
            </c:dLbl>
            <c:dLbl>
              <c:idx val="4"/>
              <c:tx>
                <c:rich>
                  <a:bodyPr/>
                  <a:lstStyle/>
                  <a:p>
                    <a:fld id="{C2A00F23-75F2-4F79-BCA4-43217416D52E}" type="VALUE">
                      <a:rPr lang="en-US"/>
                      <a:pPr/>
                      <a:t>[VALOR]</a:t>
                    </a:fld>
                    <a:r>
                      <a:rPr lang="en-US" baseline="0"/>
                      <a:t>;</a:t>
                    </a:r>
                  </a:p>
                  <a:p>
                    <a:r>
                      <a:rPr lang="en-US" baseline="0"/>
                      <a:t> </a:t>
                    </a:r>
                    <a:fld id="{65FCBDFE-8DEF-4D06-9720-808492084260}" type="PERCENTAGE">
                      <a:rPr lang="en-US" baseline="0"/>
                      <a:pPr/>
                      <a:t>[PORCENTAGEM]</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3ED-46AC-B549-D889DF9E0B80}"/>
                </c:ext>
              </c:extLst>
            </c:dLbl>
            <c:dLbl>
              <c:idx val="5"/>
              <c:tx>
                <c:rich>
                  <a:bodyPr/>
                  <a:lstStyle/>
                  <a:p>
                    <a:fld id="{A17D5863-D0FF-411D-933B-EFFC36981637}" type="VALUE">
                      <a:rPr lang="en-US"/>
                      <a:pPr/>
                      <a:t>[VALOR]</a:t>
                    </a:fld>
                    <a:r>
                      <a:rPr lang="en-US" baseline="0"/>
                      <a:t>; </a:t>
                    </a:r>
                  </a:p>
                  <a:p>
                    <a:fld id="{8AE34C5C-6679-4DB8-B4FC-0C65364F7BA0}" type="PERCENTAGE">
                      <a:rPr lang="en-US" baseline="0"/>
                      <a:pPr/>
                      <a:t>[PORCENTAGEM]</a:t>
                    </a:fld>
                    <a:endParaRPr lang="pt-B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3ED-46AC-B549-D889DF9E0B80}"/>
                </c:ext>
              </c:extLst>
            </c:dLbl>
            <c:dLbl>
              <c:idx val="6"/>
              <c:tx>
                <c:rich>
                  <a:bodyPr/>
                  <a:lstStyle/>
                  <a:p>
                    <a:fld id="{B045DB37-1EE1-474B-8E9D-5D23D64DE69B}" type="VALUE">
                      <a:rPr lang="en-US"/>
                      <a:pPr/>
                      <a:t>[VALOR]</a:t>
                    </a:fld>
                    <a:r>
                      <a:rPr lang="en-US" baseline="0"/>
                      <a:t>; </a:t>
                    </a:r>
                  </a:p>
                  <a:p>
                    <a:fld id="{0F024804-8C82-4EFF-A329-C73B0C6EB617}" type="PERCENTAGE">
                      <a:rPr lang="en-US" baseline="0"/>
                      <a:pPr/>
                      <a:t>[PORCENTAGEM]</a:t>
                    </a:fld>
                    <a:endParaRPr lang="pt-B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23ED-46AC-B549-D889DF9E0B80}"/>
                </c:ext>
              </c:extLst>
            </c:dLbl>
            <c:dLbl>
              <c:idx val="7"/>
              <c:tx>
                <c:rich>
                  <a:bodyPr/>
                  <a:lstStyle/>
                  <a:p>
                    <a:fld id="{28D1B429-1F54-4645-B57E-6CE431953641}" type="VALUE">
                      <a:rPr lang="en-US"/>
                      <a:pPr/>
                      <a:t>[VALOR]</a:t>
                    </a:fld>
                    <a:r>
                      <a:rPr lang="en-US" baseline="0"/>
                      <a:t>;</a:t>
                    </a:r>
                  </a:p>
                  <a:p>
                    <a:r>
                      <a:rPr lang="en-US" baseline="0"/>
                      <a:t> </a:t>
                    </a:r>
                    <a:fld id="{32D1F67D-EA4D-4685-B76C-9DAADBC85FB3}" type="PERCENTAGE">
                      <a:rPr lang="en-US" baseline="0"/>
                      <a:pPr/>
                      <a:t>[PORCENTAGEM]</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23ED-46AC-B549-D889DF9E0B8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t-BR"/>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GRAF.!$B$87:$B$94</c:f>
              <c:strCache>
                <c:ptCount val="8"/>
                <c:pt idx="0">
                  <c:v>Pregão presencial</c:v>
                </c:pt>
                <c:pt idx="1">
                  <c:v>Pregão eletrônico</c:v>
                </c:pt>
                <c:pt idx="2">
                  <c:v>Inexigibilidade</c:v>
                </c:pt>
                <c:pt idx="3">
                  <c:v>Tomada de preços </c:v>
                </c:pt>
                <c:pt idx="4">
                  <c:v>Convite</c:v>
                </c:pt>
                <c:pt idx="5">
                  <c:v>Dispensa de licitação</c:v>
                </c:pt>
                <c:pt idx="6">
                  <c:v>Concorrência</c:v>
                </c:pt>
                <c:pt idx="7">
                  <c:v>Leilão</c:v>
                </c:pt>
              </c:strCache>
            </c:strRef>
          </c:cat>
          <c:val>
            <c:numRef>
              <c:f>GRAF.!$C$87:$C$94</c:f>
              <c:numCache>
                <c:formatCode>General</c:formatCode>
                <c:ptCount val="8"/>
                <c:pt idx="0">
                  <c:v>52</c:v>
                </c:pt>
                <c:pt idx="1">
                  <c:v>1</c:v>
                </c:pt>
                <c:pt idx="2">
                  <c:v>2</c:v>
                </c:pt>
                <c:pt idx="3">
                  <c:v>10</c:v>
                </c:pt>
                <c:pt idx="4">
                  <c:v>5</c:v>
                </c:pt>
                <c:pt idx="5">
                  <c:v>1</c:v>
                </c:pt>
                <c:pt idx="6">
                  <c:v>5</c:v>
                </c:pt>
                <c:pt idx="7">
                  <c:v>1</c:v>
                </c:pt>
              </c:numCache>
            </c:numRef>
          </c:val>
          <c:extLst>
            <c:ext xmlns:c16="http://schemas.microsoft.com/office/drawing/2014/chart" uri="{C3380CC4-5D6E-409C-BE32-E72D297353CC}">
              <c16:uniqueId val="{00000010-23ED-46AC-B549-D889DF9E0B80}"/>
            </c:ext>
          </c:extLst>
        </c:ser>
        <c:dLbls>
          <c:dLblPos val="bestFit"/>
          <c:showLegendKey val="0"/>
          <c:showVal val="1"/>
          <c:showCatName val="0"/>
          <c:showSerName val="0"/>
          <c:showPercent val="0"/>
          <c:showBubbleSize val="0"/>
          <c:showLeaderLines val="1"/>
        </c:dLbls>
        <c:firstSliceAng val="149"/>
      </c:pieChart>
      <c:spPr>
        <a:noFill/>
        <a:ln>
          <a:noFill/>
        </a:ln>
        <a:effectLst/>
      </c:spPr>
    </c:plotArea>
    <c:legend>
      <c:legendPos val="r"/>
      <c:layout>
        <c:manualLayout>
          <c:xMode val="edge"/>
          <c:yMode val="edge"/>
          <c:x val="0.71369722230323829"/>
          <c:y val="0.20575834835201301"/>
          <c:w val="0.27484693216365441"/>
          <c:h val="0.7446752183213436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b="1" i="0" baseline="0">
                <a:effectLst/>
                <a:latin typeface="Times New Roman" panose="02020603050405020304" pitchFamily="18" charset="0"/>
                <a:cs typeface="Times New Roman" panose="02020603050405020304" pitchFamily="18" charset="0"/>
              </a:rPr>
              <a:t>Quantidade de participações vencedoras por região  </a:t>
            </a:r>
            <a:endParaRPr lang="pt-BR" sz="1000">
              <a:effectLst/>
              <a:latin typeface="Times New Roman" panose="02020603050405020304" pitchFamily="18" charset="0"/>
              <a:cs typeface="Times New Roman" panose="02020603050405020304" pitchFamily="18" charset="0"/>
            </a:endParaRPr>
          </a:p>
        </c:rich>
      </c:tx>
      <c:layout>
        <c:manualLayout>
          <c:xMode val="edge"/>
          <c:yMode val="edge"/>
          <c:x val="0.37096257781509967"/>
          <c:y val="5.1317346501467985E-2"/>
        </c:manualLayout>
      </c:layout>
      <c:overlay val="0"/>
    </c:title>
    <c:autoTitleDeleted val="0"/>
    <c:plotArea>
      <c:layout>
        <c:manualLayout>
          <c:layoutTarget val="inner"/>
          <c:xMode val="edge"/>
          <c:yMode val="edge"/>
          <c:x val="3.660141954086725E-2"/>
          <c:y val="0.12567381148842993"/>
          <c:w val="0.36515193523344791"/>
          <c:h val="0.84243013490088714"/>
        </c:manualLayout>
      </c:layout>
      <c:doughnutChart>
        <c:varyColors val="1"/>
        <c:ser>
          <c:idx val="0"/>
          <c:order val="0"/>
          <c:dLbls>
            <c:dLbl>
              <c:idx val="0"/>
              <c:layout>
                <c:manualLayout>
                  <c:x val="3.1721449610532106E-6"/>
                  <c:y val="1.9047597621749936E-2"/>
                </c:manualLayout>
              </c:layout>
              <c:tx>
                <c:rich>
                  <a:bodyPr/>
                  <a:lstStyle/>
                  <a:p>
                    <a:fld id="{92C836F8-EBA7-4EE9-AA79-66306010A2A1}" type="VALUE">
                      <a:rPr lang="en-US"/>
                      <a:pPr/>
                      <a:t>[VALOR]</a:t>
                    </a:fld>
                    <a:r>
                      <a:rPr lang="en-US" baseline="0"/>
                      <a:t>; </a:t>
                    </a:r>
                  </a:p>
                  <a:p>
                    <a:fld id="{AFA468A2-A932-4CE4-B1EE-89A4501F55D5}" type="PERCENTAGE">
                      <a:rPr lang="en-US" baseline="0"/>
                      <a:pPr/>
                      <a:t>[PORCENTAGEM]</a:t>
                    </a:fld>
                    <a:endParaRPr lang="pt-B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7B9-479B-821A-79CA933293FA}"/>
                </c:ext>
              </c:extLst>
            </c:dLbl>
            <c:dLbl>
              <c:idx val="1"/>
              <c:layout>
                <c:manualLayout>
                  <c:x val="-6.3609854218234889E-3"/>
                  <c:y val="4.7618994054374891E-3"/>
                </c:manualLayout>
              </c:layout>
              <c:tx>
                <c:rich>
                  <a:bodyPr/>
                  <a:lstStyle/>
                  <a:p>
                    <a:fld id="{E223E3C9-476A-42AD-AE0A-4B157876134F}" type="VALUE">
                      <a:rPr lang="en-US"/>
                      <a:pPr/>
                      <a:t>[VALOR]</a:t>
                    </a:fld>
                    <a:r>
                      <a:rPr lang="en-US" baseline="0"/>
                      <a:t>; </a:t>
                    </a:r>
                  </a:p>
                  <a:p>
                    <a:fld id="{97E1EC64-7968-44DC-AFB8-8C571A5713DB}" type="PERCENTAGE">
                      <a:rPr lang="en-US" baseline="0"/>
                      <a:pPr/>
                      <a:t>[PORCENTAGEM]</a:t>
                    </a:fld>
                    <a:endParaRPr lang="pt-B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7B9-479B-821A-79CA933293FA}"/>
                </c:ext>
              </c:extLst>
            </c:dLbl>
            <c:dLbl>
              <c:idx val="2"/>
              <c:layout>
                <c:manualLayout>
                  <c:x val="1.8206784846234746E-2"/>
                  <c:y val="-9.0476838608730459E-2"/>
                </c:manualLayout>
              </c:layout>
              <c:tx>
                <c:rich>
                  <a:bodyPr/>
                  <a:lstStyle/>
                  <a:p>
                    <a:fld id="{C8292F16-3B7D-481E-B4DE-5D68012873F0}" type="VALUE">
                      <a:rPr lang="en-US"/>
                      <a:pPr/>
                      <a:t>[VALOR]</a:t>
                    </a:fld>
                    <a:r>
                      <a:rPr lang="en-US" baseline="0"/>
                      <a:t>;</a:t>
                    </a:r>
                  </a:p>
                  <a:p>
                    <a:r>
                      <a:rPr lang="en-US" baseline="0"/>
                      <a:t> </a:t>
                    </a:r>
                    <a:fld id="{7C25F96B-6935-491E-B171-7E3303BAB502}" type="PERCENTAGE">
                      <a:rPr lang="en-US" baseline="0"/>
                      <a:pPr/>
                      <a:t>[PORCENTAGEM]</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7B9-479B-821A-79CA933293FA}"/>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pt-BR"/>
              </a:p>
            </c:txPr>
            <c:showLegendKey val="0"/>
            <c:showVal val="1"/>
            <c:showCatName val="0"/>
            <c:showSerName val="0"/>
            <c:showPercent val="1"/>
            <c:showBubbleSize val="0"/>
            <c:showLeaderLines val="1"/>
            <c:extLst>
              <c:ext xmlns:c15="http://schemas.microsoft.com/office/drawing/2012/chart" uri="{CE6537A1-D6FC-4f65-9D91-7224C49458BB}"/>
            </c:extLst>
          </c:dLbls>
          <c:cat>
            <c:strRef>
              <c:f>GRAF.!$B$18:$B$20</c:f>
              <c:strCache>
                <c:ptCount val="3"/>
                <c:pt idx="0">
                  <c:v>Nº Empresas de Taió</c:v>
                </c:pt>
                <c:pt idx="1">
                  <c:v>Nº Empresas do Alto Vale</c:v>
                </c:pt>
                <c:pt idx="2">
                  <c:v>Nº Empresas de fora</c:v>
                </c:pt>
              </c:strCache>
            </c:strRef>
          </c:cat>
          <c:val>
            <c:numRef>
              <c:f>GRAF.!$C$18:$C$20</c:f>
              <c:numCache>
                <c:formatCode>General</c:formatCode>
                <c:ptCount val="3"/>
                <c:pt idx="0">
                  <c:v>62</c:v>
                </c:pt>
                <c:pt idx="1">
                  <c:v>50</c:v>
                </c:pt>
                <c:pt idx="2">
                  <c:v>85</c:v>
                </c:pt>
              </c:numCache>
            </c:numRef>
          </c:val>
          <c:extLst>
            <c:ext xmlns:c16="http://schemas.microsoft.com/office/drawing/2014/chart" uri="{C3380CC4-5D6E-409C-BE32-E72D297353CC}">
              <c16:uniqueId val="{00000003-37B9-479B-821A-79CA933293FA}"/>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4369672100846544"/>
          <c:y val="0.28409696147851543"/>
          <c:w val="0.38884900367160768"/>
          <c:h val="0.45190851143607047"/>
        </c:manualLayout>
      </c:layout>
      <c:overlay val="1"/>
      <c:txPr>
        <a:bodyPr/>
        <a:lstStyle/>
        <a:p>
          <a:pPr>
            <a:defRPr sz="1000"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baseline="0">
                <a:solidFill>
                  <a:sysClr val="windowText" lastClr="000000"/>
                </a:solidFill>
                <a:effectLst/>
                <a:latin typeface="Times New Roman" panose="02020603050405020304" pitchFamily="18" charset="0"/>
                <a:cs typeface="Times New Roman" panose="02020603050405020304" pitchFamily="18" charset="0"/>
              </a:rPr>
              <a:t>Valor das empresas vencedoras por região</a:t>
            </a:r>
            <a:endParaRPr lang="pt-BR"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47407777821251923"/>
          <c:y val="5.714239930133383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2.4354363112018405E-2"/>
          <c:y val="9.1114640942077621E-2"/>
          <c:w val="0.4336885667069395"/>
          <c:h val="0.88344653941915363"/>
        </c:manualLayout>
      </c:layout>
      <c:pieChart>
        <c:varyColors val="1"/>
        <c:ser>
          <c:idx val="0"/>
          <c:order val="0"/>
          <c:explosion val="1"/>
          <c:dPt>
            <c:idx val="0"/>
            <c:bubble3D val="0"/>
            <c:explosion val="0"/>
            <c:spPr>
              <a:solidFill>
                <a:schemeClr val="accent1"/>
              </a:solidFill>
              <a:ln w="19050">
                <a:solidFill>
                  <a:schemeClr val="lt1"/>
                </a:solidFill>
              </a:ln>
              <a:effectLst/>
            </c:spPr>
            <c:extLst>
              <c:ext xmlns:c16="http://schemas.microsoft.com/office/drawing/2014/chart" uri="{C3380CC4-5D6E-409C-BE32-E72D297353CC}">
                <c16:uniqueId val="{00000001-E708-4861-A575-106454D065C9}"/>
              </c:ext>
            </c:extLst>
          </c:dPt>
          <c:dPt>
            <c:idx val="1"/>
            <c:bubble3D val="0"/>
            <c:explosion val="0"/>
            <c:spPr>
              <a:solidFill>
                <a:schemeClr val="accent2"/>
              </a:solidFill>
              <a:ln w="19050">
                <a:solidFill>
                  <a:schemeClr val="lt1"/>
                </a:solidFill>
              </a:ln>
              <a:effectLst/>
            </c:spPr>
            <c:extLst>
              <c:ext xmlns:c16="http://schemas.microsoft.com/office/drawing/2014/chart" uri="{C3380CC4-5D6E-409C-BE32-E72D297353CC}">
                <c16:uniqueId val="{00000003-E708-4861-A575-106454D065C9}"/>
              </c:ext>
            </c:extLst>
          </c:dPt>
          <c:dPt>
            <c:idx val="2"/>
            <c:bubble3D val="0"/>
            <c:explosion val="0"/>
            <c:spPr>
              <a:solidFill>
                <a:schemeClr val="accent3"/>
              </a:solidFill>
              <a:ln w="19050">
                <a:solidFill>
                  <a:schemeClr val="lt1"/>
                </a:solidFill>
              </a:ln>
              <a:effectLst/>
            </c:spPr>
            <c:extLst>
              <c:ext xmlns:c16="http://schemas.microsoft.com/office/drawing/2014/chart" uri="{C3380CC4-5D6E-409C-BE32-E72D297353CC}">
                <c16:uniqueId val="{00000005-E708-4861-A575-106454D065C9}"/>
              </c:ext>
            </c:extLst>
          </c:dPt>
          <c:dLbls>
            <c:dLbl>
              <c:idx val="0"/>
              <c:layout>
                <c:manualLayout>
                  <c:x val="-0.13290986774801297"/>
                  <c:y val="-0.1926457291697854"/>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1615520282186948"/>
                      <c:h val="0.22665399239543726"/>
                    </c:manualLayout>
                  </c15:layout>
                </c:ext>
                <c:ext xmlns:c16="http://schemas.microsoft.com/office/drawing/2014/chart" uri="{C3380CC4-5D6E-409C-BE32-E72D297353CC}">
                  <c16:uniqueId val="{00000001-E708-4861-A575-106454D065C9}"/>
                </c:ext>
              </c:extLst>
            </c:dLbl>
            <c:dLbl>
              <c:idx val="1"/>
              <c:layout>
                <c:manualLayout>
                  <c:x val="5.3382216111874734E-4"/>
                  <c:y val="2.240292206820155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2320987654320987"/>
                      <c:h val="0.20384030418250951"/>
                    </c:manualLayout>
                  </c15:layout>
                </c:ext>
                <c:ext xmlns:c16="http://schemas.microsoft.com/office/drawing/2014/chart" uri="{C3380CC4-5D6E-409C-BE32-E72D297353CC}">
                  <c16:uniqueId val="{00000003-E708-4861-A575-106454D065C9}"/>
                </c:ext>
              </c:extLst>
            </c:dLbl>
            <c:dLbl>
              <c:idx val="2"/>
              <c:layout>
                <c:manualLayout>
                  <c:x val="-0.12235581663403186"/>
                  <c:y val="0.2148582737257054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1145208700764256"/>
                      <c:h val="0.20384030418250951"/>
                    </c:manualLayout>
                  </c15:layout>
                </c:ext>
                <c:ext xmlns:c16="http://schemas.microsoft.com/office/drawing/2014/chart" uri="{C3380CC4-5D6E-409C-BE32-E72D297353CC}">
                  <c16:uniqueId val="{00000005-E708-4861-A575-106454D065C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GRAF.!$B$24:$B$26</c:f>
              <c:strCache>
                <c:ptCount val="3"/>
                <c:pt idx="0">
                  <c:v>Valor Empresas de Taió</c:v>
                </c:pt>
                <c:pt idx="1">
                  <c:v>Valor Empresas do Alto Vale</c:v>
                </c:pt>
                <c:pt idx="2">
                  <c:v>Valor Empresas de Fora</c:v>
                </c:pt>
              </c:strCache>
            </c:strRef>
          </c:cat>
          <c:val>
            <c:numRef>
              <c:f>GRAF.!$D$24:$D$26</c:f>
              <c:numCache>
                <c:formatCode>_("R$"* #,##0.00_);_("R$"* \(#,##0.00\);_("R$"* "-"??_);_(@_)</c:formatCode>
                <c:ptCount val="3"/>
                <c:pt idx="0">
                  <c:v>7691497.9199999999</c:v>
                </c:pt>
                <c:pt idx="1">
                  <c:v>6493798.9500000011</c:v>
                </c:pt>
                <c:pt idx="2">
                  <c:v>6031086.3800000008</c:v>
                </c:pt>
              </c:numCache>
            </c:numRef>
          </c:val>
          <c:extLst>
            <c:ext xmlns:c16="http://schemas.microsoft.com/office/drawing/2014/chart" uri="{C3380CC4-5D6E-409C-BE32-E72D297353CC}">
              <c16:uniqueId val="{00000006-E708-4861-A575-106454D065C9}"/>
            </c:ext>
          </c:extLst>
        </c:ser>
        <c:dLbls>
          <c:showLegendKey val="0"/>
          <c:showVal val="0"/>
          <c:showCatName val="0"/>
          <c:showSerName val="0"/>
          <c:showPercent val="0"/>
          <c:showBubbleSize val="0"/>
          <c:showLeaderLines val="1"/>
        </c:dLbls>
        <c:firstSliceAng val="80"/>
      </c:pieChart>
      <c:spPr>
        <a:noFill/>
        <a:ln>
          <a:noFill/>
        </a:ln>
        <a:effectLst/>
      </c:spPr>
    </c:plotArea>
    <c:legend>
      <c:legendPos val="r"/>
      <c:layout>
        <c:manualLayout>
          <c:xMode val="edge"/>
          <c:yMode val="edge"/>
          <c:x val="0.57159323088492253"/>
          <c:y val="0.29020244893707797"/>
          <c:w val="0.39262283650779051"/>
          <c:h val="0.3905815172536861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pt-BR" sz="1000">
                <a:latin typeface="Times New Roman" panose="02020603050405020304" pitchFamily="18" charset="0"/>
                <a:cs typeface="Times New Roman" panose="02020603050405020304" pitchFamily="18" charset="0"/>
              </a:rPr>
              <a:t>Quantidade de empresas ME/EPP vencedoras por região</a:t>
            </a:r>
          </a:p>
        </c:rich>
      </c:tx>
      <c:layout>
        <c:manualLayout>
          <c:xMode val="edge"/>
          <c:yMode val="edge"/>
          <c:x val="0.35876641690359856"/>
          <c:y val="5.8567301003002115E-2"/>
        </c:manualLayout>
      </c:layout>
      <c:overlay val="0"/>
    </c:title>
    <c:autoTitleDeleted val="0"/>
    <c:plotArea>
      <c:layout>
        <c:manualLayout>
          <c:layoutTarget val="inner"/>
          <c:xMode val="edge"/>
          <c:yMode val="edge"/>
          <c:x val="4.9648876276169818E-2"/>
          <c:y val="9.7694202392915264E-2"/>
          <c:w val="0.40310319181789445"/>
          <c:h val="0.87577356093953362"/>
        </c:manualLayout>
      </c:layout>
      <c:doughnutChart>
        <c:varyColors val="1"/>
        <c:ser>
          <c:idx val="0"/>
          <c:order val="0"/>
          <c:dLbls>
            <c:dLbl>
              <c:idx val="0"/>
              <c:layout>
                <c:manualLayout>
                  <c:x val="3.1721449610532106E-6"/>
                  <c:y val="1.9047597621749936E-2"/>
                </c:manualLayout>
              </c:layout>
              <c:tx>
                <c:rich>
                  <a:bodyPr/>
                  <a:lstStyle/>
                  <a:p>
                    <a:fld id="{A7E30083-56A5-414E-AB5B-4AC3052CBE3D}" type="VALUE">
                      <a:rPr lang="en-US"/>
                      <a:pPr/>
                      <a:t>[VALOR]</a:t>
                    </a:fld>
                    <a:r>
                      <a:rPr lang="en-US" baseline="0"/>
                      <a:t>;</a:t>
                    </a:r>
                  </a:p>
                  <a:p>
                    <a:r>
                      <a:rPr lang="en-US" baseline="0"/>
                      <a:t> </a:t>
                    </a:r>
                    <a:fld id="{78F5ED23-839E-47EC-B97F-64D351037D5E}" type="PERCENTAGE">
                      <a:rPr lang="en-US" baseline="0"/>
                      <a:pPr/>
                      <a:t>[PORCENTAGEM]</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7F2-4253-A772-1360D8C39855}"/>
                </c:ext>
              </c:extLst>
            </c:dLbl>
            <c:dLbl>
              <c:idx val="1"/>
              <c:layout>
                <c:manualLayout>
                  <c:x val="-6.3609854218234889E-3"/>
                  <c:y val="4.7618994054374891E-3"/>
                </c:manualLayout>
              </c:layout>
              <c:tx>
                <c:rich>
                  <a:bodyPr/>
                  <a:lstStyle/>
                  <a:p>
                    <a:fld id="{2C62C5BC-4F31-4B44-9B3B-109A994493F8}" type="VALUE">
                      <a:rPr lang="en-US"/>
                      <a:pPr/>
                      <a:t>[VALOR]</a:t>
                    </a:fld>
                    <a:r>
                      <a:rPr lang="en-US" baseline="0"/>
                      <a:t>; </a:t>
                    </a:r>
                  </a:p>
                  <a:p>
                    <a:fld id="{9A56E3EA-7666-4833-AE7D-9C0CF81E1075}" type="PERCENTAGE">
                      <a:rPr lang="en-US" baseline="0"/>
                      <a:pPr/>
                      <a:t>[PORCENTAGEM]</a:t>
                    </a:fld>
                    <a:endParaRPr lang="en-US" baseline="0"/>
                  </a:p>
                  <a:p>
                    <a:endParaRPr lang="pt-B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7F2-4253-A772-1360D8C39855}"/>
                </c:ext>
              </c:extLst>
            </c:dLbl>
            <c:dLbl>
              <c:idx val="2"/>
              <c:layout>
                <c:manualLayout>
                  <c:x val="1.8206784846234746E-2"/>
                  <c:y val="-9.0476838608730459E-2"/>
                </c:manualLayout>
              </c:layout>
              <c:tx>
                <c:rich>
                  <a:bodyPr/>
                  <a:lstStyle/>
                  <a:p>
                    <a:fld id="{3C927EF0-6C5B-4495-8315-DC6347AA0F71}" type="VALUE">
                      <a:rPr lang="en-US"/>
                      <a:pPr/>
                      <a:t>[VALOR]</a:t>
                    </a:fld>
                    <a:r>
                      <a:rPr lang="en-US" baseline="0"/>
                      <a:t>;</a:t>
                    </a:r>
                  </a:p>
                  <a:p>
                    <a:r>
                      <a:rPr lang="en-US" baseline="0"/>
                      <a:t> </a:t>
                    </a:r>
                    <a:fld id="{F23EACC6-5D7A-4704-9CDA-1FEAF2AA7D05}" type="PERCENTAGE">
                      <a:rPr lang="en-US" baseline="0"/>
                      <a:pPr/>
                      <a:t>[PORCENTAGEM]</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7F2-4253-A772-1360D8C39855}"/>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pt-BR"/>
              </a:p>
            </c:txPr>
            <c:showLegendKey val="0"/>
            <c:showVal val="1"/>
            <c:showCatName val="0"/>
            <c:showSerName val="0"/>
            <c:showPercent val="1"/>
            <c:showBubbleSize val="0"/>
            <c:showLeaderLines val="1"/>
            <c:extLst>
              <c:ext xmlns:c15="http://schemas.microsoft.com/office/drawing/2012/chart" uri="{CE6537A1-D6FC-4f65-9D91-7224C49458BB}"/>
            </c:extLst>
          </c:dLbls>
          <c:cat>
            <c:strRef>
              <c:f>GRAF.!$B$50:$B$52</c:f>
              <c:strCache>
                <c:ptCount val="3"/>
                <c:pt idx="0">
                  <c:v>Nº Empresas ME/EPP de Taió</c:v>
                </c:pt>
                <c:pt idx="1">
                  <c:v>Nº Empresas ME/EPP do Alto Vale</c:v>
                </c:pt>
                <c:pt idx="2">
                  <c:v>Nº Empresas ME/EPP de fora</c:v>
                </c:pt>
              </c:strCache>
            </c:strRef>
          </c:cat>
          <c:val>
            <c:numRef>
              <c:f>GRAF.!$C$50:$C$52</c:f>
              <c:numCache>
                <c:formatCode>General</c:formatCode>
                <c:ptCount val="3"/>
                <c:pt idx="0">
                  <c:v>54</c:v>
                </c:pt>
                <c:pt idx="1">
                  <c:v>28</c:v>
                </c:pt>
                <c:pt idx="2">
                  <c:v>67</c:v>
                </c:pt>
              </c:numCache>
            </c:numRef>
          </c:val>
          <c:extLst>
            <c:ext xmlns:c16="http://schemas.microsoft.com/office/drawing/2014/chart" uri="{C3380CC4-5D6E-409C-BE32-E72D297353CC}">
              <c16:uniqueId val="{00000003-67F2-4253-A772-1360D8C39855}"/>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1032320194136793"/>
          <c:y val="0.27128898619696945"/>
          <c:w val="0.44878884621295267"/>
          <c:h val="0.41347261027855386"/>
        </c:manualLayout>
      </c:layout>
      <c:overlay val="1"/>
      <c:txPr>
        <a:bodyPr/>
        <a:lstStyle/>
        <a:p>
          <a:pPr>
            <a:defRPr sz="1000"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Valor das empreas vencedoras ME/EPP por região</a:t>
            </a:r>
          </a:p>
        </c:rich>
      </c:tx>
      <c:layout>
        <c:manualLayout>
          <c:xMode val="edge"/>
          <c:yMode val="edge"/>
          <c:x val="0.39997960988177544"/>
          <c:y val="4.665099221761522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7.7419118421715614E-3"/>
          <c:y val="0.14079514855670811"/>
          <c:w val="0.36544099526826168"/>
          <c:h val="0.8307234473236468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7D-432F-8FE3-8193C6ABA9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7D-432F-8FE3-8193C6ABA9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7D-432F-8FE3-8193C6ABA9DC}"/>
              </c:ext>
            </c:extLst>
          </c:dPt>
          <c:dLbls>
            <c:dLbl>
              <c:idx val="0"/>
              <c:layout>
                <c:manualLayout>
                  <c:x val="1.5000480960822282E-3"/>
                  <c:y val="3.0292304667128334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2552646887725422"/>
                      <c:h val="0.25454940282301847"/>
                    </c:manualLayout>
                  </c15:layout>
                </c:ext>
                <c:ext xmlns:c16="http://schemas.microsoft.com/office/drawing/2014/chart" uri="{C3380CC4-5D6E-409C-BE32-E72D297353CC}">
                  <c16:uniqueId val="{00000001-D37D-432F-8FE3-8193C6ABA9DC}"/>
                </c:ext>
              </c:extLst>
            </c:dLbl>
            <c:dLbl>
              <c:idx val="1"/>
              <c:layout>
                <c:manualLayout>
                  <c:x val="-0.11587619610375931"/>
                  <c:y val="0.21715287217762275"/>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DFA0F977-6CFD-4926-99E1-AF384A392AF0}" type="VALUE">
                      <a:rPr lang="en-US" sz="100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[VALOR]</a:t>
                    </a:fld>
                    <a:r>
                      <a:rPr lang="en-US" sz="1000" baseline="0">
                        <a:latin typeface="Times New Roman" panose="02020603050405020304" pitchFamily="18" charset="0"/>
                        <a:cs typeface="Times New Roman" panose="02020603050405020304" pitchFamily="18" charset="0"/>
                      </a:rPr>
                      <a:t>;</a:t>
                    </a:r>
                  </a:p>
                  <a:p>
                    <a:pPr>
                      <a:defRPr sz="1000" b="1">
                        <a:solidFill>
                          <a:sysClr val="windowText" lastClr="000000"/>
                        </a:solidFill>
                        <a:latin typeface="Times New Roman" panose="02020603050405020304" pitchFamily="18" charset="0"/>
                        <a:cs typeface="Times New Roman" panose="02020603050405020304" pitchFamily="18" charset="0"/>
                      </a:defRPr>
                    </a:pPr>
                    <a:r>
                      <a:rPr lang="en-US" sz="1000" baseline="0">
                        <a:latin typeface="Times New Roman" panose="02020603050405020304" pitchFamily="18" charset="0"/>
                        <a:cs typeface="Times New Roman" panose="02020603050405020304" pitchFamily="18" charset="0"/>
                      </a:rPr>
                      <a:t> </a:t>
                    </a:r>
                    <a:fld id="{E87027E4-62B0-41BA-8227-3C99863DD864}" type="PERCENTAGE">
                      <a:rPr lang="en-US" sz="1000" baseline="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[PORCENTAGEM]</a:t>
                    </a:fld>
                    <a:endParaRPr lang="en-US" sz="1000"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4181500872600348"/>
                      <c:h val="0.23717698154180239"/>
                    </c:manualLayout>
                  </c15:layout>
                  <c15:dlblFieldTable/>
                  <c15:showDataLabelsRange val="0"/>
                </c:ext>
                <c:ext xmlns:c16="http://schemas.microsoft.com/office/drawing/2014/chart" uri="{C3380CC4-5D6E-409C-BE32-E72D297353CC}">
                  <c16:uniqueId val="{00000003-D37D-432F-8FE3-8193C6ABA9DC}"/>
                </c:ext>
              </c:extLst>
            </c:dLbl>
            <c:dLbl>
              <c:idx val="2"/>
              <c:layout>
                <c:manualLayout>
                  <c:x val="-0.14777351783906598"/>
                  <c:y val="-0.16514811870014628"/>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3250727166957533"/>
                      <c:h val="0.25020629750271445"/>
                    </c:manualLayout>
                  </c15:layout>
                </c:ext>
                <c:ext xmlns:c16="http://schemas.microsoft.com/office/drawing/2014/chart" uri="{C3380CC4-5D6E-409C-BE32-E72D297353CC}">
                  <c16:uniqueId val="{00000005-D37D-432F-8FE3-8193C6ABA9D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GRAF.!$B$73:$B$75</c:f>
              <c:strCache>
                <c:ptCount val="3"/>
                <c:pt idx="0">
                  <c:v>Valor Empresas ME/EPP de Taió</c:v>
                </c:pt>
                <c:pt idx="1">
                  <c:v>Valor Empresas ME/EPP do Alto Vale</c:v>
                </c:pt>
                <c:pt idx="2">
                  <c:v>Valor Empresas ME/EPP de Fora</c:v>
                </c:pt>
              </c:strCache>
            </c:strRef>
          </c:cat>
          <c:val>
            <c:numRef>
              <c:f>GRAF.!$D$73:$D$75</c:f>
              <c:numCache>
                <c:formatCode>_("R$"* #,##0.00_);_("R$"* \(#,##0.00\);_("R$"* "-"??_);_(@_)</c:formatCode>
                <c:ptCount val="3"/>
                <c:pt idx="0">
                  <c:v>5150195.92</c:v>
                </c:pt>
                <c:pt idx="1">
                  <c:v>2330523.1799999997</c:v>
                </c:pt>
                <c:pt idx="2">
                  <c:v>3660497.4099999997</c:v>
                </c:pt>
              </c:numCache>
            </c:numRef>
          </c:val>
          <c:extLst>
            <c:ext xmlns:c16="http://schemas.microsoft.com/office/drawing/2014/chart" uri="{C3380CC4-5D6E-409C-BE32-E72D297353CC}">
              <c16:uniqueId val="{00000006-D37D-432F-8FE3-8193C6ABA9DC}"/>
            </c:ext>
          </c:extLst>
        </c:ser>
        <c:dLbls>
          <c:dLblPos val="ctr"/>
          <c:showLegendKey val="0"/>
          <c:showVal val="0"/>
          <c:showCatName val="0"/>
          <c:showSerName val="0"/>
          <c:showPercent val="1"/>
          <c:showBubbleSize val="0"/>
          <c:showLeaderLines val="1"/>
        </c:dLbls>
        <c:firstSliceAng val="185"/>
      </c:pieChart>
      <c:spPr>
        <a:noFill/>
        <a:ln>
          <a:noFill/>
        </a:ln>
        <a:effectLst/>
      </c:spPr>
    </c:plotArea>
    <c:legend>
      <c:legendPos val="r"/>
      <c:layout>
        <c:manualLayout>
          <c:xMode val="edge"/>
          <c:yMode val="edge"/>
          <c:x val="0.52292131022889143"/>
          <c:y val="0.28766001578551686"/>
          <c:w val="0.40157713266208089"/>
          <c:h val="0.466442671864714"/>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1F497D"/>
                </a:solidFill>
                <a:latin typeface="+mn-lt"/>
                <a:ea typeface="+mn-ea"/>
                <a:cs typeface="+mn-cs"/>
              </a:defRPr>
            </a:pPr>
            <a:r>
              <a:rPr lang="pt-BR" sz="1050" b="1" i="0" baseline="0">
                <a:solidFill>
                  <a:sysClr val="windowText" lastClr="000000"/>
                </a:solidFill>
                <a:effectLst/>
                <a:latin typeface="Times New Roman" panose="02020603050405020304" pitchFamily="18" charset="0"/>
                <a:cs typeface="Times New Roman" panose="02020603050405020304" pitchFamily="18" charset="0"/>
              </a:rPr>
              <a:t>Quantidade de licitações por modalidade 2017 - 2020</a:t>
            </a:r>
            <a:endParaRPr lang="pt-BR" sz="1000">
              <a:solidFill>
                <a:sysClr val="windowText" lastClr="000000"/>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a:solidFill>
                  <a:srgbClr val="1F497D"/>
                </a:solidFill>
              </a:defRPr>
            </a:pPr>
            <a:endParaRPr lang="pt-B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1F497D"/>
              </a:solidFill>
              <a:latin typeface="+mn-lt"/>
              <a:ea typeface="+mn-ea"/>
              <a:cs typeface="+mn-cs"/>
            </a:defRPr>
          </a:pPr>
          <a:endParaRPr lang="pt-BR"/>
        </a:p>
      </c:txPr>
    </c:title>
    <c:autoTitleDeleted val="0"/>
    <c:plotArea>
      <c:layout>
        <c:manualLayout>
          <c:layoutTarget val="inner"/>
          <c:xMode val="edge"/>
          <c:yMode val="edge"/>
          <c:x val="0.20907428914363826"/>
          <c:y val="0.20529230521376643"/>
          <c:w val="0.75432255865687925"/>
          <c:h val="0.58159559191437882"/>
        </c:manualLayout>
      </c:layout>
      <c:barChart>
        <c:barDir val="bar"/>
        <c:grouping val="clustered"/>
        <c:varyColors val="0"/>
        <c:ser>
          <c:idx val="0"/>
          <c:order val="0"/>
          <c:tx>
            <c:strRef>
              <c:f>Planilha2!$B$1</c:f>
              <c:strCache>
                <c:ptCount val="1"/>
                <c:pt idx="0">
                  <c:v>2017</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Planilha2!$A$2:$A$9</c:f>
              <c:strCache>
                <c:ptCount val="8"/>
                <c:pt idx="0">
                  <c:v>Convite</c:v>
                </c:pt>
                <c:pt idx="1">
                  <c:v>Concorrência</c:v>
                </c:pt>
                <c:pt idx="2">
                  <c:v>Dispensa</c:v>
                </c:pt>
                <c:pt idx="3">
                  <c:v>Inexigibilidade</c:v>
                </c:pt>
                <c:pt idx="4">
                  <c:v>Leilão</c:v>
                </c:pt>
                <c:pt idx="5">
                  <c:v>Pregão Eletrônico</c:v>
                </c:pt>
                <c:pt idx="6">
                  <c:v>Pregão Presencial</c:v>
                </c:pt>
                <c:pt idx="7">
                  <c:v>Tomada de Preços</c:v>
                </c:pt>
              </c:strCache>
            </c:strRef>
          </c:cat>
          <c:val>
            <c:numRef>
              <c:f>Planilha2!$B$2:$B$9</c:f>
              <c:numCache>
                <c:formatCode>General</c:formatCode>
                <c:ptCount val="8"/>
                <c:pt idx="0">
                  <c:v>18</c:v>
                </c:pt>
                <c:pt idx="1">
                  <c:v>1</c:v>
                </c:pt>
                <c:pt idx="2">
                  <c:v>10</c:v>
                </c:pt>
                <c:pt idx="3">
                  <c:v>4</c:v>
                </c:pt>
                <c:pt idx="4">
                  <c:v>0</c:v>
                </c:pt>
                <c:pt idx="5">
                  <c:v>0</c:v>
                </c:pt>
                <c:pt idx="6">
                  <c:v>73</c:v>
                </c:pt>
                <c:pt idx="7">
                  <c:v>6</c:v>
                </c:pt>
              </c:numCache>
            </c:numRef>
          </c:val>
          <c:extLst>
            <c:ext xmlns:c16="http://schemas.microsoft.com/office/drawing/2014/chart" uri="{C3380CC4-5D6E-409C-BE32-E72D297353CC}">
              <c16:uniqueId val="{00000000-B1F9-4A2F-BC99-3BCF53C0A9BF}"/>
            </c:ext>
          </c:extLst>
        </c:ser>
        <c:ser>
          <c:idx val="1"/>
          <c:order val="1"/>
          <c:tx>
            <c:strRef>
              <c:f>Planilha2!$C$1</c:f>
              <c:strCache>
                <c:ptCount val="1"/>
                <c:pt idx="0">
                  <c:v>2018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Planilha2!$A$2:$A$9</c:f>
              <c:strCache>
                <c:ptCount val="8"/>
                <c:pt idx="0">
                  <c:v>Convite</c:v>
                </c:pt>
                <c:pt idx="1">
                  <c:v>Concorrência</c:v>
                </c:pt>
                <c:pt idx="2">
                  <c:v>Dispensa</c:v>
                </c:pt>
                <c:pt idx="3">
                  <c:v>Inexigibilidade</c:v>
                </c:pt>
                <c:pt idx="4">
                  <c:v>Leilão</c:v>
                </c:pt>
                <c:pt idx="5">
                  <c:v>Pregão Eletrônico</c:v>
                </c:pt>
                <c:pt idx="6">
                  <c:v>Pregão Presencial</c:v>
                </c:pt>
                <c:pt idx="7">
                  <c:v>Tomada de Preços</c:v>
                </c:pt>
              </c:strCache>
            </c:strRef>
          </c:cat>
          <c:val>
            <c:numRef>
              <c:f>Planilha2!$C$2:$C$9</c:f>
              <c:numCache>
                <c:formatCode>General</c:formatCode>
                <c:ptCount val="8"/>
                <c:pt idx="0">
                  <c:v>5</c:v>
                </c:pt>
                <c:pt idx="1">
                  <c:v>0</c:v>
                </c:pt>
                <c:pt idx="2">
                  <c:v>12</c:v>
                </c:pt>
                <c:pt idx="3">
                  <c:v>1</c:v>
                </c:pt>
                <c:pt idx="4">
                  <c:v>0</c:v>
                </c:pt>
                <c:pt idx="5">
                  <c:v>1</c:v>
                </c:pt>
                <c:pt idx="6">
                  <c:v>70</c:v>
                </c:pt>
                <c:pt idx="7">
                  <c:v>5</c:v>
                </c:pt>
              </c:numCache>
            </c:numRef>
          </c:val>
          <c:extLst>
            <c:ext xmlns:c16="http://schemas.microsoft.com/office/drawing/2014/chart" uri="{C3380CC4-5D6E-409C-BE32-E72D297353CC}">
              <c16:uniqueId val="{00000001-B1F9-4A2F-BC99-3BCF53C0A9BF}"/>
            </c:ext>
          </c:extLst>
        </c:ser>
        <c:ser>
          <c:idx val="2"/>
          <c:order val="2"/>
          <c:tx>
            <c:strRef>
              <c:f>Planilha2!$D$1</c:f>
              <c:strCache>
                <c:ptCount val="1"/>
                <c:pt idx="0">
                  <c:v>2019</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Planilha2!$A$2:$A$9</c:f>
              <c:strCache>
                <c:ptCount val="8"/>
                <c:pt idx="0">
                  <c:v>Convite</c:v>
                </c:pt>
                <c:pt idx="1">
                  <c:v>Concorrência</c:v>
                </c:pt>
                <c:pt idx="2">
                  <c:v>Dispensa</c:v>
                </c:pt>
                <c:pt idx="3">
                  <c:v>Inexigibilidade</c:v>
                </c:pt>
                <c:pt idx="4">
                  <c:v>Leilão</c:v>
                </c:pt>
                <c:pt idx="5">
                  <c:v>Pregão Eletrônico</c:v>
                </c:pt>
                <c:pt idx="6">
                  <c:v>Pregão Presencial</c:v>
                </c:pt>
                <c:pt idx="7">
                  <c:v>Tomada de Preços</c:v>
                </c:pt>
              </c:strCache>
            </c:strRef>
          </c:cat>
          <c:val>
            <c:numRef>
              <c:f>Planilha2!$D$2:$D$9</c:f>
              <c:numCache>
                <c:formatCode>General</c:formatCode>
                <c:ptCount val="8"/>
                <c:pt idx="0">
                  <c:v>3</c:v>
                </c:pt>
                <c:pt idx="1">
                  <c:v>0</c:v>
                </c:pt>
                <c:pt idx="2">
                  <c:v>20</c:v>
                </c:pt>
                <c:pt idx="3">
                  <c:v>4</c:v>
                </c:pt>
                <c:pt idx="4">
                  <c:v>0</c:v>
                </c:pt>
                <c:pt idx="5">
                  <c:v>3</c:v>
                </c:pt>
                <c:pt idx="6">
                  <c:v>83</c:v>
                </c:pt>
                <c:pt idx="7">
                  <c:v>9</c:v>
                </c:pt>
              </c:numCache>
            </c:numRef>
          </c:val>
          <c:extLst>
            <c:ext xmlns:c16="http://schemas.microsoft.com/office/drawing/2014/chart" uri="{C3380CC4-5D6E-409C-BE32-E72D297353CC}">
              <c16:uniqueId val="{00000002-B1F9-4A2F-BC99-3BCF53C0A9BF}"/>
            </c:ext>
          </c:extLst>
        </c:ser>
        <c:ser>
          <c:idx val="3"/>
          <c:order val="3"/>
          <c:tx>
            <c:strRef>
              <c:f>Planilha2!$E$1</c:f>
              <c:strCache>
                <c:ptCount val="1"/>
                <c:pt idx="0">
                  <c:v>2020</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Planilha2!$A$2:$A$9</c:f>
              <c:strCache>
                <c:ptCount val="8"/>
                <c:pt idx="0">
                  <c:v>Convite</c:v>
                </c:pt>
                <c:pt idx="1">
                  <c:v>Concorrência</c:v>
                </c:pt>
                <c:pt idx="2">
                  <c:v>Dispensa</c:v>
                </c:pt>
                <c:pt idx="3">
                  <c:v>Inexigibilidade</c:v>
                </c:pt>
                <c:pt idx="4">
                  <c:v>Leilão</c:v>
                </c:pt>
                <c:pt idx="5">
                  <c:v>Pregão Eletrônico</c:v>
                </c:pt>
                <c:pt idx="6">
                  <c:v>Pregão Presencial</c:v>
                </c:pt>
                <c:pt idx="7">
                  <c:v>Tomada de Preços</c:v>
                </c:pt>
              </c:strCache>
            </c:strRef>
          </c:cat>
          <c:val>
            <c:numRef>
              <c:f>Planilha2!$E$2:$E$9</c:f>
              <c:numCache>
                <c:formatCode>General</c:formatCode>
                <c:ptCount val="8"/>
                <c:pt idx="0">
                  <c:v>5</c:v>
                </c:pt>
                <c:pt idx="1">
                  <c:v>5</c:v>
                </c:pt>
                <c:pt idx="2">
                  <c:v>1</c:v>
                </c:pt>
                <c:pt idx="3">
                  <c:v>2</c:v>
                </c:pt>
                <c:pt idx="4">
                  <c:v>1</c:v>
                </c:pt>
                <c:pt idx="5">
                  <c:v>1</c:v>
                </c:pt>
                <c:pt idx="6">
                  <c:v>52</c:v>
                </c:pt>
                <c:pt idx="7">
                  <c:v>10</c:v>
                </c:pt>
              </c:numCache>
            </c:numRef>
          </c:val>
          <c:extLst>
            <c:ext xmlns:c16="http://schemas.microsoft.com/office/drawing/2014/chart" uri="{C3380CC4-5D6E-409C-BE32-E72D297353CC}">
              <c16:uniqueId val="{00000003-B1F9-4A2F-BC99-3BCF53C0A9BF}"/>
            </c:ext>
          </c:extLst>
        </c:ser>
        <c:dLbls>
          <c:showLegendKey val="0"/>
          <c:showVal val="0"/>
          <c:showCatName val="0"/>
          <c:showSerName val="0"/>
          <c:showPercent val="0"/>
          <c:showBubbleSize val="0"/>
        </c:dLbls>
        <c:gapWidth val="100"/>
        <c:axId val="1717884928"/>
        <c:axId val="1717883264"/>
      </c:barChart>
      <c:catAx>
        <c:axId val="17178849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717883264"/>
        <c:crosses val="autoZero"/>
        <c:auto val="1"/>
        <c:lblAlgn val="ctr"/>
        <c:lblOffset val="100"/>
        <c:noMultiLvlLbl val="0"/>
      </c:catAx>
      <c:valAx>
        <c:axId val="171788326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717884928"/>
        <c:crosses val="autoZero"/>
        <c:crossBetween val="between"/>
      </c:valAx>
      <c:spPr>
        <a:noFill/>
        <a:ln>
          <a:noFill/>
        </a:ln>
        <a:effectLst/>
      </c:spPr>
    </c:plotArea>
    <c:legend>
      <c:legendPos val="b"/>
      <c:layout>
        <c:manualLayout>
          <c:xMode val="edge"/>
          <c:yMode val="edge"/>
          <c:x val="0.33081164783830391"/>
          <c:y val="0.88210043978616381"/>
          <c:w val="0.33837651909601629"/>
          <c:h val="6.674866507317119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pt-BR" sz="1000" b="1">
                <a:solidFill>
                  <a:sysClr val="windowText" lastClr="000000"/>
                </a:solidFill>
                <a:latin typeface="Times New Roman" panose="02020603050405020304" pitchFamily="18" charset="0"/>
                <a:cs typeface="Times New Roman" panose="02020603050405020304" pitchFamily="18" charset="0"/>
              </a:rPr>
              <a:t>Percentual</a:t>
            </a:r>
            <a:r>
              <a:rPr lang="pt-BR" sz="1000" b="1" baseline="0">
                <a:solidFill>
                  <a:sysClr val="windowText" lastClr="000000"/>
                </a:solidFill>
                <a:latin typeface="Times New Roman" panose="02020603050405020304" pitchFamily="18" charset="0"/>
                <a:cs typeface="Times New Roman" panose="02020603050405020304" pitchFamily="18" charset="0"/>
              </a:rPr>
              <a:t> de cada modalidade de licitação no ano 2017</a:t>
            </a:r>
            <a:endParaRPr lang="pt-BR"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369489698683184"/>
          <c:y val="3.0979468582568746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pt-BR"/>
        </a:p>
      </c:txPr>
    </c:title>
    <c:autoTitleDeleted val="0"/>
    <c:plotArea>
      <c:layout>
        <c:manualLayout>
          <c:layoutTarget val="inner"/>
          <c:xMode val="edge"/>
          <c:yMode val="edge"/>
          <c:x val="4.7811166773357373E-2"/>
          <c:y val="7.4270923556829946E-2"/>
          <c:w val="0.54199078541096557"/>
          <c:h val="0.9257290764431700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DD-4760-88B4-3E2E2BB45C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9DD-4760-88B4-3E2E2BB45C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9DD-4760-88B4-3E2E2BB45C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9DD-4760-88B4-3E2E2BB45C9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9DD-4760-88B4-3E2E2BB45C9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9DD-4760-88B4-3E2E2BB45C9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9DD-4760-88B4-3E2E2BB45C9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GRAF.!$B$87:$B$92</c:f>
              <c:strCache>
                <c:ptCount val="6"/>
                <c:pt idx="0">
                  <c:v>Concorrência</c:v>
                </c:pt>
                <c:pt idx="1">
                  <c:v>Convite</c:v>
                </c:pt>
                <c:pt idx="2">
                  <c:v>Dispensa</c:v>
                </c:pt>
                <c:pt idx="3">
                  <c:v>Inexigibilidade</c:v>
                </c:pt>
                <c:pt idx="4">
                  <c:v>Pregão Presencial</c:v>
                </c:pt>
                <c:pt idx="5">
                  <c:v>Tomada de Preços</c:v>
                </c:pt>
              </c:strCache>
            </c:strRef>
          </c:cat>
          <c:val>
            <c:numRef>
              <c:f>GRAF.!$C$87:$C$92</c:f>
              <c:numCache>
                <c:formatCode>General</c:formatCode>
                <c:ptCount val="6"/>
                <c:pt idx="0">
                  <c:v>1</c:v>
                </c:pt>
                <c:pt idx="1">
                  <c:v>18</c:v>
                </c:pt>
                <c:pt idx="2">
                  <c:v>10</c:v>
                </c:pt>
                <c:pt idx="3">
                  <c:v>4</c:v>
                </c:pt>
                <c:pt idx="4">
                  <c:v>73</c:v>
                </c:pt>
                <c:pt idx="5">
                  <c:v>6</c:v>
                </c:pt>
              </c:numCache>
            </c:numRef>
          </c:val>
          <c:extLst>
            <c:ext xmlns:c16="http://schemas.microsoft.com/office/drawing/2014/chart" uri="{C3380CC4-5D6E-409C-BE32-E72D297353CC}">
              <c16:uniqueId val="{0000000E-29DD-4760-88B4-3E2E2BB45C93}"/>
            </c:ext>
          </c:extLst>
        </c:ser>
        <c:dLbls>
          <c:dLblPos val="bestFit"/>
          <c:showLegendKey val="0"/>
          <c:showVal val="1"/>
          <c:showCatName val="0"/>
          <c:showSerName val="0"/>
          <c:showPercent val="0"/>
          <c:showBubbleSize val="0"/>
          <c:showLeaderLines val="1"/>
        </c:dLbls>
        <c:firstSliceAng val="54"/>
      </c:pieChart>
      <c:spPr>
        <a:noFill/>
        <a:ln>
          <a:noFill/>
        </a:ln>
        <a:effectLst/>
      </c:spPr>
    </c:plotArea>
    <c:legend>
      <c:legendPos val="r"/>
      <c:layout>
        <c:manualLayout>
          <c:xMode val="edge"/>
          <c:yMode val="edge"/>
          <c:x val="0.69211446590758885"/>
          <c:y val="0.21912428176207702"/>
          <c:w val="0.2892354462886384"/>
          <c:h val="0.68063361521401844"/>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b="1">
                <a:solidFill>
                  <a:sysClr val="windowText" lastClr="000000"/>
                </a:solidFill>
                <a:latin typeface="Times New Roman" panose="02020603050405020304" pitchFamily="18" charset="0"/>
                <a:cs typeface="Times New Roman" panose="02020603050405020304" pitchFamily="18" charset="0"/>
              </a:rPr>
              <a:t>Total de participações por região 2017-2020</a:t>
            </a:r>
          </a:p>
        </c:rich>
      </c:tx>
      <c:layout>
        <c:manualLayout>
          <c:xMode val="edge"/>
          <c:yMode val="edge"/>
          <c:x val="0.27424197658352817"/>
          <c:y val="4.0286351543114836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7.9247594050743664E-2"/>
          <c:y val="0.1115277777777778"/>
          <c:w val="0.89019685039370078"/>
          <c:h val="0.65602435112277624"/>
        </c:manualLayout>
      </c:layout>
      <c:barChart>
        <c:barDir val="col"/>
        <c:grouping val="clustered"/>
        <c:varyColors val="0"/>
        <c:ser>
          <c:idx val="0"/>
          <c:order val="0"/>
          <c:tx>
            <c:strRef>
              <c:f>'EVOLUÇÃO TABELAS'!$L$3</c:f>
              <c:strCache>
                <c:ptCount val="1"/>
                <c:pt idx="0">
                  <c:v>Empresas de Taió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'EVOLUÇÃO TABELAS'!$M$2:$P$2</c:f>
              <c:numCache>
                <c:formatCode>General</c:formatCode>
                <c:ptCount val="4"/>
                <c:pt idx="0">
                  <c:v>2017</c:v>
                </c:pt>
                <c:pt idx="1">
                  <c:v>2018</c:v>
                </c:pt>
                <c:pt idx="2">
                  <c:v>2019</c:v>
                </c:pt>
                <c:pt idx="3">
                  <c:v>2020</c:v>
                </c:pt>
              </c:numCache>
            </c:numRef>
          </c:cat>
          <c:val>
            <c:numRef>
              <c:f>'EVOLUÇÃO TABELAS'!$M$3:$P$3</c:f>
              <c:numCache>
                <c:formatCode>General</c:formatCode>
                <c:ptCount val="4"/>
                <c:pt idx="0">
                  <c:v>121</c:v>
                </c:pt>
                <c:pt idx="1">
                  <c:v>82</c:v>
                </c:pt>
                <c:pt idx="2">
                  <c:v>103</c:v>
                </c:pt>
                <c:pt idx="3">
                  <c:v>90</c:v>
                </c:pt>
              </c:numCache>
            </c:numRef>
          </c:val>
          <c:extLst>
            <c:ext xmlns:c16="http://schemas.microsoft.com/office/drawing/2014/chart" uri="{C3380CC4-5D6E-409C-BE32-E72D297353CC}">
              <c16:uniqueId val="{00000000-A48C-481B-A1EA-D2EB50D88CF2}"/>
            </c:ext>
          </c:extLst>
        </c:ser>
        <c:ser>
          <c:idx val="1"/>
          <c:order val="1"/>
          <c:tx>
            <c:strRef>
              <c:f>'EVOLUÇÃO TABELAS'!$L$4</c:f>
              <c:strCache>
                <c:ptCount val="1"/>
                <c:pt idx="0">
                  <c:v>Empresas do Alto Vale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'EVOLUÇÃO TABELAS'!$M$2:$P$2</c:f>
              <c:numCache>
                <c:formatCode>General</c:formatCode>
                <c:ptCount val="4"/>
                <c:pt idx="0">
                  <c:v>2017</c:v>
                </c:pt>
                <c:pt idx="1">
                  <c:v>2018</c:v>
                </c:pt>
                <c:pt idx="2">
                  <c:v>2019</c:v>
                </c:pt>
                <c:pt idx="3">
                  <c:v>2020</c:v>
                </c:pt>
              </c:numCache>
            </c:numRef>
          </c:cat>
          <c:val>
            <c:numRef>
              <c:f>'EVOLUÇÃO TABELAS'!$M$4:$P$4</c:f>
              <c:numCache>
                <c:formatCode>General</c:formatCode>
                <c:ptCount val="4"/>
                <c:pt idx="0">
                  <c:v>49</c:v>
                </c:pt>
                <c:pt idx="1">
                  <c:v>74</c:v>
                </c:pt>
                <c:pt idx="2">
                  <c:v>72</c:v>
                </c:pt>
                <c:pt idx="3">
                  <c:v>153</c:v>
                </c:pt>
              </c:numCache>
            </c:numRef>
          </c:val>
          <c:extLst>
            <c:ext xmlns:c16="http://schemas.microsoft.com/office/drawing/2014/chart" uri="{C3380CC4-5D6E-409C-BE32-E72D297353CC}">
              <c16:uniqueId val="{00000001-A48C-481B-A1EA-D2EB50D88CF2}"/>
            </c:ext>
          </c:extLst>
        </c:ser>
        <c:ser>
          <c:idx val="2"/>
          <c:order val="2"/>
          <c:tx>
            <c:strRef>
              <c:f>'EVOLUÇÃO TABELAS'!$L$5</c:f>
              <c:strCache>
                <c:ptCount val="1"/>
                <c:pt idx="0">
                  <c:v> Empresas de fora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'EVOLUÇÃO TABELAS'!$M$2:$P$2</c:f>
              <c:numCache>
                <c:formatCode>General</c:formatCode>
                <c:ptCount val="4"/>
                <c:pt idx="0">
                  <c:v>2017</c:v>
                </c:pt>
                <c:pt idx="1">
                  <c:v>2018</c:v>
                </c:pt>
                <c:pt idx="2">
                  <c:v>2019</c:v>
                </c:pt>
                <c:pt idx="3">
                  <c:v>2020</c:v>
                </c:pt>
              </c:numCache>
            </c:numRef>
          </c:cat>
          <c:val>
            <c:numRef>
              <c:f>'EVOLUÇÃO TABELAS'!$M$5:$P$5</c:f>
              <c:numCache>
                <c:formatCode>General</c:formatCode>
                <c:ptCount val="4"/>
                <c:pt idx="0">
                  <c:v>69</c:v>
                </c:pt>
                <c:pt idx="1">
                  <c:v>121</c:v>
                </c:pt>
                <c:pt idx="2">
                  <c:v>146</c:v>
                </c:pt>
                <c:pt idx="3">
                  <c:v>115</c:v>
                </c:pt>
              </c:numCache>
            </c:numRef>
          </c:val>
          <c:extLst>
            <c:ext xmlns:c16="http://schemas.microsoft.com/office/drawing/2014/chart" uri="{C3380CC4-5D6E-409C-BE32-E72D297353CC}">
              <c16:uniqueId val="{00000002-A48C-481B-A1EA-D2EB50D88CF2}"/>
            </c:ext>
          </c:extLst>
        </c:ser>
        <c:dLbls>
          <c:dLblPos val="outEnd"/>
          <c:showLegendKey val="0"/>
          <c:showVal val="1"/>
          <c:showCatName val="0"/>
          <c:showSerName val="0"/>
          <c:showPercent val="0"/>
          <c:showBubbleSize val="0"/>
        </c:dLbls>
        <c:gapWidth val="219"/>
        <c:overlap val="-27"/>
        <c:axId val="1030058879"/>
        <c:axId val="1030062623"/>
      </c:barChart>
      <c:catAx>
        <c:axId val="103005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t-BR"/>
          </a:p>
        </c:txPr>
        <c:crossAx val="1030062623"/>
        <c:crosses val="autoZero"/>
        <c:auto val="1"/>
        <c:lblAlgn val="ctr"/>
        <c:lblOffset val="100"/>
        <c:noMultiLvlLbl val="0"/>
      </c:catAx>
      <c:valAx>
        <c:axId val="1030062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030058879"/>
        <c:crosses val="autoZero"/>
        <c:crossBetween val="between"/>
      </c:valAx>
      <c:spPr>
        <a:noFill/>
        <a:ln>
          <a:noFill/>
        </a:ln>
        <a:effectLst/>
      </c:spPr>
    </c:plotArea>
    <c:legend>
      <c:legendPos val="b"/>
      <c:layout>
        <c:manualLayout>
          <c:xMode val="edge"/>
          <c:yMode val="edge"/>
          <c:x val="1.9444444444444445E-2"/>
          <c:y val="0.88410072771911252"/>
          <c:w val="0.95"/>
          <c:h val="8.8690215806357539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b="1" i="0" baseline="0">
                <a:solidFill>
                  <a:sysClr val="windowText" lastClr="000000"/>
                </a:solidFill>
                <a:effectLst/>
                <a:latin typeface="Times New Roman" panose="02020603050405020304" pitchFamily="18" charset="0"/>
                <a:cs typeface="Times New Roman" panose="02020603050405020304" pitchFamily="18" charset="0"/>
              </a:rPr>
              <a:t>Total de participações vencedoras por região 2017-2020</a:t>
            </a:r>
            <a:endParaRPr lang="pt-BR"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0921468514466321"/>
          <c:y val="5.460750853242320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barChart>
        <c:barDir val="col"/>
        <c:grouping val="clustered"/>
        <c:varyColors val="0"/>
        <c:ser>
          <c:idx val="0"/>
          <c:order val="0"/>
          <c:tx>
            <c:strRef>
              <c:f>'EVOLUÇÃO TABELAS'!$L$26</c:f>
              <c:strCache>
                <c:ptCount val="1"/>
                <c:pt idx="0">
                  <c:v>Empresas de Taió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'EVOLUÇÃO TABELAS'!$M$25:$P$25</c:f>
              <c:numCache>
                <c:formatCode>General</c:formatCode>
                <c:ptCount val="4"/>
                <c:pt idx="0">
                  <c:v>2017</c:v>
                </c:pt>
                <c:pt idx="1">
                  <c:v>2018</c:v>
                </c:pt>
                <c:pt idx="2">
                  <c:v>2019</c:v>
                </c:pt>
                <c:pt idx="3">
                  <c:v>2020</c:v>
                </c:pt>
              </c:numCache>
            </c:numRef>
          </c:cat>
          <c:val>
            <c:numRef>
              <c:f>'EVOLUÇÃO TABELAS'!$M$26:$P$26</c:f>
              <c:numCache>
                <c:formatCode>General</c:formatCode>
                <c:ptCount val="4"/>
                <c:pt idx="0">
                  <c:v>93</c:v>
                </c:pt>
                <c:pt idx="1">
                  <c:v>70</c:v>
                </c:pt>
                <c:pt idx="2">
                  <c:v>84</c:v>
                </c:pt>
                <c:pt idx="3">
                  <c:v>62</c:v>
                </c:pt>
              </c:numCache>
            </c:numRef>
          </c:val>
          <c:extLst>
            <c:ext xmlns:c16="http://schemas.microsoft.com/office/drawing/2014/chart" uri="{C3380CC4-5D6E-409C-BE32-E72D297353CC}">
              <c16:uniqueId val="{00000000-CC3A-4EF0-9FCB-B792F43C1026}"/>
            </c:ext>
          </c:extLst>
        </c:ser>
        <c:ser>
          <c:idx val="1"/>
          <c:order val="1"/>
          <c:tx>
            <c:strRef>
              <c:f>'EVOLUÇÃO TABELAS'!$L$27</c:f>
              <c:strCache>
                <c:ptCount val="1"/>
                <c:pt idx="0">
                  <c:v>Empresas do Alto Vale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'EVOLUÇÃO TABELAS'!$M$25:$P$25</c:f>
              <c:numCache>
                <c:formatCode>General</c:formatCode>
                <c:ptCount val="4"/>
                <c:pt idx="0">
                  <c:v>2017</c:v>
                </c:pt>
                <c:pt idx="1">
                  <c:v>2018</c:v>
                </c:pt>
                <c:pt idx="2">
                  <c:v>2019</c:v>
                </c:pt>
                <c:pt idx="3">
                  <c:v>2020</c:v>
                </c:pt>
              </c:numCache>
            </c:numRef>
          </c:cat>
          <c:val>
            <c:numRef>
              <c:f>'EVOLUÇÃO TABELAS'!$M$27:$P$27</c:f>
              <c:numCache>
                <c:formatCode>General</c:formatCode>
                <c:ptCount val="4"/>
                <c:pt idx="0">
                  <c:v>49</c:v>
                </c:pt>
                <c:pt idx="1">
                  <c:v>41</c:v>
                </c:pt>
                <c:pt idx="2">
                  <c:v>54</c:v>
                </c:pt>
                <c:pt idx="3">
                  <c:v>50</c:v>
                </c:pt>
              </c:numCache>
            </c:numRef>
          </c:val>
          <c:extLst>
            <c:ext xmlns:c16="http://schemas.microsoft.com/office/drawing/2014/chart" uri="{C3380CC4-5D6E-409C-BE32-E72D297353CC}">
              <c16:uniqueId val="{00000001-CC3A-4EF0-9FCB-B792F43C1026}"/>
            </c:ext>
          </c:extLst>
        </c:ser>
        <c:ser>
          <c:idx val="2"/>
          <c:order val="2"/>
          <c:tx>
            <c:strRef>
              <c:f>'EVOLUÇÃO TABELAS'!$L$28</c:f>
              <c:strCache>
                <c:ptCount val="1"/>
                <c:pt idx="0">
                  <c:v> Empresas de fora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'EVOLUÇÃO TABELAS'!$M$25:$P$25</c:f>
              <c:numCache>
                <c:formatCode>General</c:formatCode>
                <c:ptCount val="4"/>
                <c:pt idx="0">
                  <c:v>2017</c:v>
                </c:pt>
                <c:pt idx="1">
                  <c:v>2018</c:v>
                </c:pt>
                <c:pt idx="2">
                  <c:v>2019</c:v>
                </c:pt>
                <c:pt idx="3">
                  <c:v>2020</c:v>
                </c:pt>
              </c:numCache>
            </c:numRef>
          </c:cat>
          <c:val>
            <c:numRef>
              <c:f>'EVOLUÇÃO TABELAS'!$M$28:$P$28</c:f>
              <c:numCache>
                <c:formatCode>General</c:formatCode>
                <c:ptCount val="4"/>
                <c:pt idx="0">
                  <c:v>69</c:v>
                </c:pt>
                <c:pt idx="1">
                  <c:v>87</c:v>
                </c:pt>
                <c:pt idx="2">
                  <c:v>106</c:v>
                </c:pt>
                <c:pt idx="3">
                  <c:v>85</c:v>
                </c:pt>
              </c:numCache>
            </c:numRef>
          </c:val>
          <c:extLst>
            <c:ext xmlns:c16="http://schemas.microsoft.com/office/drawing/2014/chart" uri="{C3380CC4-5D6E-409C-BE32-E72D297353CC}">
              <c16:uniqueId val="{00000002-CC3A-4EF0-9FCB-B792F43C1026}"/>
            </c:ext>
          </c:extLst>
        </c:ser>
        <c:dLbls>
          <c:dLblPos val="outEnd"/>
          <c:showLegendKey val="0"/>
          <c:showVal val="1"/>
          <c:showCatName val="0"/>
          <c:showSerName val="0"/>
          <c:showPercent val="0"/>
          <c:showBubbleSize val="0"/>
        </c:dLbls>
        <c:gapWidth val="219"/>
        <c:overlap val="-27"/>
        <c:axId val="1008263167"/>
        <c:axId val="1008271487"/>
      </c:barChart>
      <c:catAx>
        <c:axId val="1008263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t-BR"/>
          </a:p>
        </c:txPr>
        <c:crossAx val="1008271487"/>
        <c:crosses val="autoZero"/>
        <c:auto val="1"/>
        <c:lblAlgn val="ctr"/>
        <c:lblOffset val="100"/>
        <c:noMultiLvlLbl val="0"/>
      </c:catAx>
      <c:valAx>
        <c:axId val="1008271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008263167"/>
        <c:crosses val="autoZero"/>
        <c:crossBetween val="between"/>
      </c:valAx>
      <c:spPr>
        <a:noFill/>
        <a:ln>
          <a:noFill/>
        </a:ln>
        <a:effectLst/>
      </c:spPr>
    </c:plotArea>
    <c:legend>
      <c:legendPos val="b"/>
      <c:layout>
        <c:manualLayout>
          <c:xMode val="edge"/>
          <c:yMode val="edge"/>
          <c:x val="6.60687467542493E-3"/>
          <c:y val="0.82585836248904188"/>
          <c:w val="0.98956386701662291"/>
          <c:h val="0.1704359871682706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00" b="1" i="0" baseline="0">
                <a:solidFill>
                  <a:sysClr val="windowText" lastClr="000000"/>
                </a:solidFill>
                <a:effectLst/>
                <a:latin typeface="Times New Roman" panose="02020603050405020304" pitchFamily="18" charset="0"/>
                <a:cs typeface="Times New Roman" panose="02020603050405020304" pitchFamily="18" charset="0"/>
              </a:rPr>
              <a:t>Valor total das participações vencedoras por região 2017-2020</a:t>
            </a:r>
            <a:endParaRPr lang="pt-BR"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1036513545347468"/>
          <c:y val="2.118644067796610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barChart>
        <c:barDir val="col"/>
        <c:grouping val="clustered"/>
        <c:varyColors val="0"/>
        <c:ser>
          <c:idx val="0"/>
          <c:order val="0"/>
          <c:tx>
            <c:strRef>
              <c:f>'EVOLUÇÃO TABELAS'!$L$35</c:f>
              <c:strCache>
                <c:ptCount val="1"/>
                <c:pt idx="0">
                  <c:v>Empresas de Taió</c:v>
                </c:pt>
              </c:strCache>
            </c:strRef>
          </c:tx>
          <c:spPr>
            <a:solidFill>
              <a:schemeClr val="accent1"/>
            </a:solidFill>
            <a:ln>
              <a:noFill/>
            </a:ln>
            <a:effectLst/>
          </c:spPr>
          <c:invertIfNegative val="0"/>
          <c:cat>
            <c:numRef>
              <c:f>'EVOLUÇÃO TABELAS'!$M$34:$P$34</c:f>
              <c:numCache>
                <c:formatCode>General</c:formatCode>
                <c:ptCount val="4"/>
                <c:pt idx="0">
                  <c:v>2017</c:v>
                </c:pt>
                <c:pt idx="1">
                  <c:v>2018</c:v>
                </c:pt>
                <c:pt idx="2">
                  <c:v>2019</c:v>
                </c:pt>
                <c:pt idx="3">
                  <c:v>2020</c:v>
                </c:pt>
              </c:numCache>
            </c:numRef>
          </c:cat>
          <c:val>
            <c:numRef>
              <c:f>'EVOLUÇÃO TABELAS'!$M$35:$P$35</c:f>
              <c:numCache>
                <c:formatCode>#,##0.00</c:formatCode>
                <c:ptCount val="4"/>
                <c:pt idx="0">
                  <c:v>4041684.17</c:v>
                </c:pt>
                <c:pt idx="1">
                  <c:v>5180784.07</c:v>
                </c:pt>
                <c:pt idx="2">
                  <c:v>5795730.7100000009</c:v>
                </c:pt>
                <c:pt idx="3">
                  <c:v>7691497.9199999999</c:v>
                </c:pt>
              </c:numCache>
            </c:numRef>
          </c:val>
          <c:extLst>
            <c:ext xmlns:c16="http://schemas.microsoft.com/office/drawing/2014/chart" uri="{C3380CC4-5D6E-409C-BE32-E72D297353CC}">
              <c16:uniqueId val="{00000000-32B5-43DA-9E17-6DA5521876AB}"/>
            </c:ext>
          </c:extLst>
        </c:ser>
        <c:ser>
          <c:idx val="1"/>
          <c:order val="1"/>
          <c:tx>
            <c:strRef>
              <c:f>'EVOLUÇÃO TABELAS'!$L$36</c:f>
              <c:strCache>
                <c:ptCount val="1"/>
                <c:pt idx="0">
                  <c:v>Empr. do Alto Vale</c:v>
                </c:pt>
              </c:strCache>
            </c:strRef>
          </c:tx>
          <c:spPr>
            <a:solidFill>
              <a:schemeClr val="accent2"/>
            </a:solidFill>
            <a:ln>
              <a:noFill/>
            </a:ln>
            <a:effectLst/>
          </c:spPr>
          <c:invertIfNegative val="0"/>
          <c:cat>
            <c:numRef>
              <c:f>'EVOLUÇÃO TABELAS'!$M$34:$P$34</c:f>
              <c:numCache>
                <c:formatCode>General</c:formatCode>
                <c:ptCount val="4"/>
                <c:pt idx="0">
                  <c:v>2017</c:v>
                </c:pt>
                <c:pt idx="1">
                  <c:v>2018</c:v>
                </c:pt>
                <c:pt idx="2">
                  <c:v>2019</c:v>
                </c:pt>
                <c:pt idx="3">
                  <c:v>2020</c:v>
                </c:pt>
              </c:numCache>
            </c:numRef>
          </c:cat>
          <c:val>
            <c:numRef>
              <c:f>'EVOLUÇÃO TABELAS'!$M$36:$P$36</c:f>
              <c:numCache>
                <c:formatCode>#,##0.00</c:formatCode>
                <c:ptCount val="4"/>
                <c:pt idx="0">
                  <c:v>3670227.5499999993</c:v>
                </c:pt>
                <c:pt idx="1">
                  <c:v>3966290.46</c:v>
                </c:pt>
                <c:pt idx="2">
                  <c:v>9019975.4900000002</c:v>
                </c:pt>
                <c:pt idx="3">
                  <c:v>6493798.9500000011</c:v>
                </c:pt>
              </c:numCache>
            </c:numRef>
          </c:val>
          <c:extLst>
            <c:ext xmlns:c16="http://schemas.microsoft.com/office/drawing/2014/chart" uri="{C3380CC4-5D6E-409C-BE32-E72D297353CC}">
              <c16:uniqueId val="{00000001-32B5-43DA-9E17-6DA5521876AB}"/>
            </c:ext>
          </c:extLst>
        </c:ser>
        <c:ser>
          <c:idx val="2"/>
          <c:order val="2"/>
          <c:tx>
            <c:strRef>
              <c:f>'EVOLUÇÃO TABELAS'!$L$37</c:f>
              <c:strCache>
                <c:ptCount val="1"/>
                <c:pt idx="0">
                  <c:v> Empresas de fora</c:v>
                </c:pt>
              </c:strCache>
            </c:strRef>
          </c:tx>
          <c:spPr>
            <a:solidFill>
              <a:schemeClr val="accent3"/>
            </a:solidFill>
            <a:ln>
              <a:noFill/>
            </a:ln>
            <a:effectLst/>
          </c:spPr>
          <c:invertIfNegative val="0"/>
          <c:cat>
            <c:numRef>
              <c:f>'EVOLUÇÃO TABELAS'!$M$34:$P$34</c:f>
              <c:numCache>
                <c:formatCode>General</c:formatCode>
                <c:ptCount val="4"/>
                <c:pt idx="0">
                  <c:v>2017</c:v>
                </c:pt>
                <c:pt idx="1">
                  <c:v>2018</c:v>
                </c:pt>
                <c:pt idx="2">
                  <c:v>2019</c:v>
                </c:pt>
                <c:pt idx="3">
                  <c:v>2020</c:v>
                </c:pt>
              </c:numCache>
            </c:numRef>
          </c:cat>
          <c:val>
            <c:numRef>
              <c:f>'EVOLUÇÃO TABELAS'!$M$37:$P$37</c:f>
              <c:numCache>
                <c:formatCode>#,##0.00</c:formatCode>
                <c:ptCount val="4"/>
                <c:pt idx="0">
                  <c:v>3990316.3600000003</c:v>
                </c:pt>
                <c:pt idx="1">
                  <c:v>5300488.7300000004</c:v>
                </c:pt>
                <c:pt idx="2">
                  <c:v>4906375.91</c:v>
                </c:pt>
                <c:pt idx="3">
                  <c:v>6031086.3800000008</c:v>
                </c:pt>
              </c:numCache>
            </c:numRef>
          </c:val>
          <c:extLst>
            <c:ext xmlns:c16="http://schemas.microsoft.com/office/drawing/2014/chart" uri="{C3380CC4-5D6E-409C-BE32-E72D297353CC}">
              <c16:uniqueId val="{00000002-32B5-43DA-9E17-6DA5521876AB}"/>
            </c:ext>
          </c:extLst>
        </c:ser>
        <c:dLbls>
          <c:showLegendKey val="0"/>
          <c:showVal val="0"/>
          <c:showCatName val="0"/>
          <c:showSerName val="0"/>
          <c:showPercent val="0"/>
          <c:showBubbleSize val="0"/>
        </c:dLbls>
        <c:gapWidth val="219"/>
        <c:overlap val="-27"/>
        <c:axId val="1008278559"/>
        <c:axId val="1008277311"/>
      </c:barChart>
      <c:catAx>
        <c:axId val="100827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008277311"/>
        <c:crosses val="autoZero"/>
        <c:auto val="1"/>
        <c:lblAlgn val="ctr"/>
        <c:lblOffset val="100"/>
        <c:noMultiLvlLbl val="0"/>
      </c:catAx>
      <c:valAx>
        <c:axId val="100827731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008278559"/>
        <c:crosses val="autoZero"/>
        <c:crossBetween val="between"/>
      </c:valAx>
      <c:spPr>
        <a:noFill/>
        <a:ln>
          <a:noFill/>
        </a:ln>
        <a:effectLst/>
      </c:spPr>
    </c:plotArea>
    <c:legend>
      <c:legendPos val="b"/>
      <c:layout>
        <c:manualLayout>
          <c:xMode val="edge"/>
          <c:yMode val="edge"/>
          <c:x val="5.5555555555555552E-2"/>
          <c:y val="0.88820135500700448"/>
          <c:w val="0.9"/>
          <c:h val="7.34550867107869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00" b="1" i="0" baseline="0">
                <a:solidFill>
                  <a:sysClr val="windowText" lastClr="000000"/>
                </a:solidFill>
                <a:effectLst/>
                <a:latin typeface="Times New Roman" panose="02020603050405020304" pitchFamily="18" charset="0"/>
                <a:cs typeface="Times New Roman" panose="02020603050405020304" pitchFamily="18" charset="0"/>
              </a:rPr>
              <a:t>Valor total das participações 2017-2020</a:t>
            </a:r>
            <a:endParaRPr lang="pt-BR" sz="10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barChart>
        <c:barDir val="col"/>
        <c:grouping val="clustered"/>
        <c:varyColors val="0"/>
        <c:ser>
          <c:idx val="0"/>
          <c:order val="0"/>
          <c:tx>
            <c:strRef>
              <c:f>'EVOLUÇÃO TABELAS'!$M$41</c:f>
              <c:strCache>
                <c:ptCount val="1"/>
                <c:pt idx="0">
                  <c:v>Valor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'EVOLUÇÃO TABELAS'!$L$42:$L$45</c:f>
              <c:numCache>
                <c:formatCode>General</c:formatCode>
                <c:ptCount val="4"/>
                <c:pt idx="0">
                  <c:v>2017</c:v>
                </c:pt>
                <c:pt idx="1">
                  <c:v>2018</c:v>
                </c:pt>
                <c:pt idx="2">
                  <c:v>2019</c:v>
                </c:pt>
                <c:pt idx="3">
                  <c:v>2020</c:v>
                </c:pt>
              </c:numCache>
            </c:numRef>
          </c:cat>
          <c:val>
            <c:numRef>
              <c:f>'EVOLUÇÃO TABELAS'!$M$42:$M$45</c:f>
              <c:numCache>
                <c:formatCode>#,##0.00</c:formatCode>
                <c:ptCount val="4"/>
                <c:pt idx="0">
                  <c:v>11702228.079999998</c:v>
                </c:pt>
                <c:pt idx="1">
                  <c:v>14447563.260000002</c:v>
                </c:pt>
                <c:pt idx="2">
                  <c:v>19722082.109999999</c:v>
                </c:pt>
                <c:pt idx="3">
                  <c:v>20216383.25</c:v>
                </c:pt>
              </c:numCache>
            </c:numRef>
          </c:val>
          <c:extLst>
            <c:ext xmlns:c16="http://schemas.microsoft.com/office/drawing/2014/chart" uri="{C3380CC4-5D6E-409C-BE32-E72D297353CC}">
              <c16:uniqueId val="{00000000-793F-47F0-8B59-3C602E3AFF3D}"/>
            </c:ext>
          </c:extLst>
        </c:ser>
        <c:dLbls>
          <c:dLblPos val="outEnd"/>
          <c:showLegendKey val="0"/>
          <c:showVal val="1"/>
          <c:showCatName val="0"/>
          <c:showSerName val="0"/>
          <c:showPercent val="0"/>
          <c:showBubbleSize val="0"/>
        </c:dLbls>
        <c:gapWidth val="219"/>
        <c:overlap val="-27"/>
        <c:axId val="1008270239"/>
        <c:axId val="1008270655"/>
      </c:barChart>
      <c:catAx>
        <c:axId val="100827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008270655"/>
        <c:crosses val="autoZero"/>
        <c:auto val="1"/>
        <c:lblAlgn val="ctr"/>
        <c:lblOffset val="100"/>
        <c:noMultiLvlLbl val="0"/>
      </c:catAx>
      <c:valAx>
        <c:axId val="10082706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10082702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pt-BR" sz="1000" b="1" i="0" baseline="0">
                <a:solidFill>
                  <a:sysClr val="windowText" lastClr="000000"/>
                </a:solidFill>
                <a:effectLst/>
                <a:latin typeface="Times New Roman" panose="02020603050405020304" pitchFamily="18" charset="0"/>
                <a:cs typeface="Times New Roman" panose="02020603050405020304" pitchFamily="18" charset="0"/>
              </a:rPr>
              <a:t>Total de participações ME/EPP vencedoras por região 2017-2020</a:t>
            </a:r>
            <a:endParaRPr lang="pt-BR"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9268395437847338"/>
          <c:y val="2.3148238972959638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endParaRPr lang="pt-BR"/>
        </a:p>
      </c:txPr>
    </c:title>
    <c:autoTitleDeleted val="0"/>
    <c:plotArea>
      <c:layout>
        <c:manualLayout>
          <c:layoutTarget val="inner"/>
          <c:xMode val="edge"/>
          <c:yMode val="edge"/>
          <c:x val="5.4456739425804195E-2"/>
          <c:y val="0.11521853607161664"/>
          <c:w val="0.92282373314036648"/>
          <c:h val="0.58521107399730998"/>
        </c:manualLayout>
      </c:layout>
      <c:barChart>
        <c:barDir val="col"/>
        <c:grouping val="clustered"/>
        <c:varyColors val="0"/>
        <c:ser>
          <c:idx val="0"/>
          <c:order val="0"/>
          <c:tx>
            <c:strRef>
              <c:f>'EVOLUÇÃO TABELAS'!$L$67</c:f>
              <c:strCache>
                <c:ptCount val="1"/>
                <c:pt idx="0">
                  <c:v>Empresas de Taió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'EVOLUÇÃO TABELAS'!$M$66:$P$66</c:f>
              <c:numCache>
                <c:formatCode>General</c:formatCode>
                <c:ptCount val="4"/>
                <c:pt idx="0">
                  <c:v>2017</c:v>
                </c:pt>
                <c:pt idx="1">
                  <c:v>2018</c:v>
                </c:pt>
                <c:pt idx="2">
                  <c:v>2019</c:v>
                </c:pt>
                <c:pt idx="3">
                  <c:v>2020</c:v>
                </c:pt>
              </c:numCache>
            </c:numRef>
          </c:cat>
          <c:val>
            <c:numRef>
              <c:f>'EVOLUÇÃO TABELAS'!$M$67:$P$67</c:f>
              <c:numCache>
                <c:formatCode>General</c:formatCode>
                <c:ptCount val="4"/>
                <c:pt idx="0">
                  <c:v>76</c:v>
                </c:pt>
                <c:pt idx="1">
                  <c:v>58</c:v>
                </c:pt>
                <c:pt idx="2">
                  <c:v>74</c:v>
                </c:pt>
                <c:pt idx="3">
                  <c:v>54</c:v>
                </c:pt>
              </c:numCache>
            </c:numRef>
          </c:val>
          <c:extLst>
            <c:ext xmlns:c16="http://schemas.microsoft.com/office/drawing/2014/chart" uri="{C3380CC4-5D6E-409C-BE32-E72D297353CC}">
              <c16:uniqueId val="{00000000-0208-4263-B580-135D8C1E0944}"/>
            </c:ext>
          </c:extLst>
        </c:ser>
        <c:ser>
          <c:idx val="1"/>
          <c:order val="1"/>
          <c:tx>
            <c:strRef>
              <c:f>'EVOLUÇÃO TABELAS'!$L$68</c:f>
              <c:strCache>
                <c:ptCount val="1"/>
                <c:pt idx="0">
                  <c:v>Emp. do Alto Vale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'EVOLUÇÃO TABELAS'!$M$66:$P$66</c:f>
              <c:numCache>
                <c:formatCode>General</c:formatCode>
                <c:ptCount val="4"/>
                <c:pt idx="0">
                  <c:v>2017</c:v>
                </c:pt>
                <c:pt idx="1">
                  <c:v>2018</c:v>
                </c:pt>
                <c:pt idx="2">
                  <c:v>2019</c:v>
                </c:pt>
                <c:pt idx="3">
                  <c:v>2020</c:v>
                </c:pt>
              </c:numCache>
            </c:numRef>
          </c:cat>
          <c:val>
            <c:numRef>
              <c:f>'EVOLUÇÃO TABELAS'!$M$68:$P$68</c:f>
              <c:numCache>
                <c:formatCode>General</c:formatCode>
                <c:ptCount val="4"/>
                <c:pt idx="0">
                  <c:v>26</c:v>
                </c:pt>
                <c:pt idx="1">
                  <c:v>26</c:v>
                </c:pt>
                <c:pt idx="2">
                  <c:v>40</c:v>
                </c:pt>
                <c:pt idx="3">
                  <c:v>28</c:v>
                </c:pt>
              </c:numCache>
            </c:numRef>
          </c:val>
          <c:extLst>
            <c:ext xmlns:c16="http://schemas.microsoft.com/office/drawing/2014/chart" uri="{C3380CC4-5D6E-409C-BE32-E72D297353CC}">
              <c16:uniqueId val="{00000001-0208-4263-B580-135D8C1E0944}"/>
            </c:ext>
          </c:extLst>
        </c:ser>
        <c:ser>
          <c:idx val="2"/>
          <c:order val="2"/>
          <c:tx>
            <c:strRef>
              <c:f>'EVOLUÇÃO TABELAS'!$L$69</c:f>
              <c:strCache>
                <c:ptCount val="1"/>
                <c:pt idx="0">
                  <c:v> Empresas de fora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'EVOLUÇÃO TABELAS'!$M$66:$P$66</c:f>
              <c:numCache>
                <c:formatCode>General</c:formatCode>
                <c:ptCount val="4"/>
                <c:pt idx="0">
                  <c:v>2017</c:v>
                </c:pt>
                <c:pt idx="1">
                  <c:v>2018</c:v>
                </c:pt>
                <c:pt idx="2">
                  <c:v>2019</c:v>
                </c:pt>
                <c:pt idx="3">
                  <c:v>2020</c:v>
                </c:pt>
              </c:numCache>
            </c:numRef>
          </c:cat>
          <c:val>
            <c:numRef>
              <c:f>'EVOLUÇÃO TABELAS'!$M$69:$P$69</c:f>
              <c:numCache>
                <c:formatCode>General</c:formatCode>
                <c:ptCount val="4"/>
                <c:pt idx="0">
                  <c:v>39</c:v>
                </c:pt>
                <c:pt idx="1">
                  <c:v>47</c:v>
                </c:pt>
                <c:pt idx="2">
                  <c:v>82</c:v>
                </c:pt>
                <c:pt idx="3">
                  <c:v>67</c:v>
                </c:pt>
              </c:numCache>
            </c:numRef>
          </c:val>
          <c:extLst>
            <c:ext xmlns:c16="http://schemas.microsoft.com/office/drawing/2014/chart" uri="{C3380CC4-5D6E-409C-BE32-E72D297353CC}">
              <c16:uniqueId val="{00000002-0208-4263-B580-135D8C1E0944}"/>
            </c:ext>
          </c:extLst>
        </c:ser>
        <c:dLbls>
          <c:dLblPos val="outEnd"/>
          <c:showLegendKey val="0"/>
          <c:showVal val="1"/>
          <c:showCatName val="0"/>
          <c:showSerName val="0"/>
          <c:showPercent val="0"/>
          <c:showBubbleSize val="0"/>
        </c:dLbls>
        <c:gapWidth val="219"/>
        <c:overlap val="-27"/>
        <c:axId val="954921791"/>
        <c:axId val="954907231"/>
      </c:barChart>
      <c:catAx>
        <c:axId val="954921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954907231"/>
        <c:crosses val="autoZero"/>
        <c:auto val="1"/>
        <c:lblAlgn val="ctr"/>
        <c:lblOffset val="100"/>
        <c:noMultiLvlLbl val="0"/>
      </c:catAx>
      <c:valAx>
        <c:axId val="954907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954921791"/>
        <c:crosses val="autoZero"/>
        <c:crossBetween val="between"/>
      </c:valAx>
      <c:spPr>
        <a:noFill/>
        <a:ln>
          <a:noFill/>
        </a:ln>
        <a:effectLst/>
      </c:spPr>
    </c:plotArea>
    <c:legend>
      <c:legendPos val="b"/>
      <c:layout>
        <c:manualLayout>
          <c:xMode val="edge"/>
          <c:yMode val="edge"/>
          <c:x val="3.0298368219137891E-2"/>
          <c:y val="0.84116350394523931"/>
          <c:w val="0.95"/>
          <c:h val="8.8690215806357539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b="1" i="0" baseline="0">
                <a:solidFill>
                  <a:sysClr val="windowText" lastClr="000000"/>
                </a:solidFill>
                <a:effectLst/>
                <a:latin typeface="Times New Roman" panose="02020603050405020304" pitchFamily="18" charset="0"/>
                <a:cs typeface="Times New Roman" panose="02020603050405020304" pitchFamily="18" charset="0"/>
              </a:rPr>
              <a:t>Valor total das participações ME/EPP vencedoras por região 2017-2020</a:t>
            </a:r>
            <a:endParaRPr lang="pt-BR"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3457671386967043"/>
          <c:y val="7.2805139186295498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0.14600855731705639"/>
          <c:y val="0.20603907637655416"/>
          <c:w val="0.80273925864101003"/>
          <c:h val="0.54446915272358276"/>
        </c:manualLayout>
      </c:layout>
      <c:barChart>
        <c:barDir val="col"/>
        <c:grouping val="clustered"/>
        <c:varyColors val="0"/>
        <c:ser>
          <c:idx val="0"/>
          <c:order val="0"/>
          <c:tx>
            <c:strRef>
              <c:f>'EVOLUÇÃO TABELAS'!$L$86</c:f>
              <c:strCache>
                <c:ptCount val="1"/>
                <c:pt idx="0">
                  <c:v>Empresas de Taió</c:v>
                </c:pt>
              </c:strCache>
            </c:strRef>
          </c:tx>
          <c:spPr>
            <a:solidFill>
              <a:schemeClr val="accent1"/>
            </a:solidFill>
            <a:ln>
              <a:noFill/>
            </a:ln>
            <a:effectLst/>
          </c:spPr>
          <c:invertIfNegative val="0"/>
          <c:cat>
            <c:numRef>
              <c:f>'EVOLUÇÃO TABELAS'!$M$85:$P$85</c:f>
              <c:numCache>
                <c:formatCode>General</c:formatCode>
                <c:ptCount val="4"/>
                <c:pt idx="0">
                  <c:v>2017</c:v>
                </c:pt>
                <c:pt idx="1">
                  <c:v>2018</c:v>
                </c:pt>
                <c:pt idx="2">
                  <c:v>2019</c:v>
                </c:pt>
                <c:pt idx="3">
                  <c:v>2020</c:v>
                </c:pt>
              </c:numCache>
            </c:numRef>
          </c:cat>
          <c:val>
            <c:numRef>
              <c:f>'EVOLUÇÃO TABELAS'!$M$86:$P$86</c:f>
              <c:numCache>
                <c:formatCode>#,##0.00</c:formatCode>
                <c:ptCount val="4"/>
                <c:pt idx="0">
                  <c:v>2634884.7199999997</c:v>
                </c:pt>
                <c:pt idx="1">
                  <c:v>3328015.3200000003</c:v>
                </c:pt>
                <c:pt idx="2">
                  <c:v>4500491.1399999997</c:v>
                </c:pt>
                <c:pt idx="3">
                  <c:v>5150195.92</c:v>
                </c:pt>
              </c:numCache>
            </c:numRef>
          </c:val>
          <c:extLst>
            <c:ext xmlns:c16="http://schemas.microsoft.com/office/drawing/2014/chart" uri="{C3380CC4-5D6E-409C-BE32-E72D297353CC}">
              <c16:uniqueId val="{00000000-8D18-4762-B35D-576547682307}"/>
            </c:ext>
          </c:extLst>
        </c:ser>
        <c:ser>
          <c:idx val="1"/>
          <c:order val="1"/>
          <c:tx>
            <c:strRef>
              <c:f>'EVOLUÇÃO TABELAS'!$L$87</c:f>
              <c:strCache>
                <c:ptCount val="1"/>
                <c:pt idx="0">
                  <c:v>Emp. do Alto Vale</c:v>
                </c:pt>
              </c:strCache>
            </c:strRef>
          </c:tx>
          <c:spPr>
            <a:solidFill>
              <a:schemeClr val="accent2"/>
            </a:solidFill>
            <a:ln>
              <a:noFill/>
            </a:ln>
            <a:effectLst/>
          </c:spPr>
          <c:invertIfNegative val="0"/>
          <c:cat>
            <c:numRef>
              <c:f>'EVOLUÇÃO TABELAS'!$M$85:$P$85</c:f>
              <c:numCache>
                <c:formatCode>General</c:formatCode>
                <c:ptCount val="4"/>
                <c:pt idx="0">
                  <c:v>2017</c:v>
                </c:pt>
                <c:pt idx="1">
                  <c:v>2018</c:v>
                </c:pt>
                <c:pt idx="2">
                  <c:v>2019</c:v>
                </c:pt>
                <c:pt idx="3">
                  <c:v>2020</c:v>
                </c:pt>
              </c:numCache>
            </c:numRef>
          </c:cat>
          <c:val>
            <c:numRef>
              <c:f>'EVOLUÇÃO TABELAS'!$M$87:$P$87</c:f>
              <c:numCache>
                <c:formatCode>#,##0.00</c:formatCode>
                <c:ptCount val="4"/>
                <c:pt idx="0">
                  <c:v>1741017.3199999998</c:v>
                </c:pt>
                <c:pt idx="1">
                  <c:v>1900686.0999999999</c:v>
                </c:pt>
                <c:pt idx="2">
                  <c:v>7489911.1799999997</c:v>
                </c:pt>
                <c:pt idx="3">
                  <c:v>2330523.1799999997</c:v>
                </c:pt>
              </c:numCache>
            </c:numRef>
          </c:val>
          <c:extLst>
            <c:ext xmlns:c16="http://schemas.microsoft.com/office/drawing/2014/chart" uri="{C3380CC4-5D6E-409C-BE32-E72D297353CC}">
              <c16:uniqueId val="{00000001-8D18-4762-B35D-576547682307}"/>
            </c:ext>
          </c:extLst>
        </c:ser>
        <c:ser>
          <c:idx val="2"/>
          <c:order val="2"/>
          <c:tx>
            <c:strRef>
              <c:f>'EVOLUÇÃO TABELAS'!$L$88</c:f>
              <c:strCache>
                <c:ptCount val="1"/>
                <c:pt idx="0">
                  <c:v> Empresas de fora</c:v>
                </c:pt>
              </c:strCache>
            </c:strRef>
          </c:tx>
          <c:spPr>
            <a:solidFill>
              <a:schemeClr val="accent3"/>
            </a:solidFill>
            <a:ln>
              <a:noFill/>
            </a:ln>
            <a:effectLst/>
          </c:spPr>
          <c:invertIfNegative val="0"/>
          <c:cat>
            <c:numRef>
              <c:f>'EVOLUÇÃO TABELAS'!$M$85:$P$85</c:f>
              <c:numCache>
                <c:formatCode>General</c:formatCode>
                <c:ptCount val="4"/>
                <c:pt idx="0">
                  <c:v>2017</c:v>
                </c:pt>
                <c:pt idx="1">
                  <c:v>2018</c:v>
                </c:pt>
                <c:pt idx="2">
                  <c:v>2019</c:v>
                </c:pt>
                <c:pt idx="3">
                  <c:v>2020</c:v>
                </c:pt>
              </c:numCache>
            </c:numRef>
          </c:cat>
          <c:val>
            <c:numRef>
              <c:f>'EVOLUÇÃO TABELAS'!$M$88:$P$88</c:f>
              <c:numCache>
                <c:formatCode>#,##0.00</c:formatCode>
                <c:ptCount val="4"/>
                <c:pt idx="0">
                  <c:v>2199448.5699999998</c:v>
                </c:pt>
                <c:pt idx="1">
                  <c:v>1788581.92</c:v>
                </c:pt>
                <c:pt idx="2">
                  <c:v>3202946.3600000003</c:v>
                </c:pt>
                <c:pt idx="3">
                  <c:v>3660497.4099999997</c:v>
                </c:pt>
              </c:numCache>
            </c:numRef>
          </c:val>
          <c:extLst>
            <c:ext xmlns:c16="http://schemas.microsoft.com/office/drawing/2014/chart" uri="{C3380CC4-5D6E-409C-BE32-E72D297353CC}">
              <c16:uniqueId val="{00000002-8D18-4762-B35D-576547682307}"/>
            </c:ext>
          </c:extLst>
        </c:ser>
        <c:dLbls>
          <c:showLegendKey val="0"/>
          <c:showVal val="0"/>
          <c:showCatName val="0"/>
          <c:showSerName val="0"/>
          <c:showPercent val="0"/>
          <c:showBubbleSize val="0"/>
        </c:dLbls>
        <c:gapWidth val="219"/>
        <c:overlap val="-27"/>
        <c:axId val="1008261503"/>
        <c:axId val="1008267327"/>
      </c:barChart>
      <c:catAx>
        <c:axId val="1008261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008267327"/>
        <c:crosses val="autoZero"/>
        <c:auto val="1"/>
        <c:lblAlgn val="ctr"/>
        <c:lblOffset val="100"/>
        <c:noMultiLvlLbl val="0"/>
      </c:catAx>
      <c:valAx>
        <c:axId val="100826732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008261503"/>
        <c:crosses val="autoZero"/>
        <c:crossBetween val="between"/>
      </c:valAx>
      <c:spPr>
        <a:noFill/>
        <a:ln>
          <a:noFill/>
        </a:ln>
        <a:effectLst/>
      </c:spPr>
    </c:plotArea>
    <c:legend>
      <c:legendPos val="b"/>
      <c:layout>
        <c:manualLayout>
          <c:xMode val="edge"/>
          <c:yMode val="edge"/>
          <c:x val="8.2356609908327549E-2"/>
          <c:y val="0.85333693856651593"/>
          <c:w val="0.83528659674675199"/>
          <c:h val="7.561510406225864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b="1" i="0" baseline="0">
                <a:solidFill>
                  <a:sysClr val="windowText" lastClr="000000"/>
                </a:solidFill>
                <a:effectLst/>
                <a:latin typeface="Times New Roman" panose="02020603050405020304" pitchFamily="18" charset="0"/>
                <a:cs typeface="Times New Roman" panose="02020603050405020304" pitchFamily="18" charset="0"/>
              </a:rPr>
              <a:t>Valor total das participações ME/EPP 2017-2020</a:t>
            </a:r>
            <a:endParaRPr lang="pt-BR"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5384132351390665"/>
          <c:y val="1.22511130870740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barChart>
        <c:barDir val="col"/>
        <c:grouping val="clustered"/>
        <c:varyColors val="0"/>
        <c:ser>
          <c:idx val="0"/>
          <c:order val="0"/>
          <c:tx>
            <c:strRef>
              <c:f>'EVOLUÇÃO TABELAS'!$M$92</c:f>
              <c:strCache>
                <c:ptCount val="1"/>
                <c:pt idx="0">
                  <c:v>Valor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'EVOLUÇÃO TABELAS'!$L$93:$L$96</c:f>
              <c:numCache>
                <c:formatCode>General</c:formatCode>
                <c:ptCount val="4"/>
                <c:pt idx="0">
                  <c:v>2017</c:v>
                </c:pt>
                <c:pt idx="1">
                  <c:v>2018</c:v>
                </c:pt>
                <c:pt idx="2">
                  <c:v>2019</c:v>
                </c:pt>
                <c:pt idx="3">
                  <c:v>2020</c:v>
                </c:pt>
              </c:numCache>
            </c:numRef>
          </c:cat>
          <c:val>
            <c:numRef>
              <c:f>'EVOLUÇÃO TABELAS'!$M$93:$M$96</c:f>
              <c:numCache>
                <c:formatCode>#,##0.00</c:formatCode>
                <c:ptCount val="4"/>
                <c:pt idx="0">
                  <c:v>6575350.6099999994</c:v>
                </c:pt>
                <c:pt idx="1">
                  <c:v>7017283.3399999999</c:v>
                </c:pt>
                <c:pt idx="2">
                  <c:v>15193348.68</c:v>
                </c:pt>
                <c:pt idx="3">
                  <c:v>11141216.51</c:v>
                </c:pt>
              </c:numCache>
            </c:numRef>
          </c:val>
          <c:extLst>
            <c:ext xmlns:c16="http://schemas.microsoft.com/office/drawing/2014/chart" uri="{C3380CC4-5D6E-409C-BE32-E72D297353CC}">
              <c16:uniqueId val="{00000000-CC9C-4AE6-8086-EF88DFF7B90E}"/>
            </c:ext>
          </c:extLst>
        </c:ser>
        <c:dLbls>
          <c:dLblPos val="outEnd"/>
          <c:showLegendKey val="0"/>
          <c:showVal val="1"/>
          <c:showCatName val="0"/>
          <c:showSerName val="0"/>
          <c:showPercent val="0"/>
          <c:showBubbleSize val="0"/>
        </c:dLbls>
        <c:gapWidth val="219"/>
        <c:overlap val="-27"/>
        <c:axId val="954929279"/>
        <c:axId val="954930111"/>
      </c:barChart>
      <c:catAx>
        <c:axId val="954929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954930111"/>
        <c:crosses val="autoZero"/>
        <c:auto val="1"/>
        <c:lblAlgn val="ctr"/>
        <c:lblOffset val="100"/>
        <c:noMultiLvlLbl val="0"/>
      </c:catAx>
      <c:valAx>
        <c:axId val="95493011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9549292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Quantidade de participações vencedoras</a:t>
            </a:r>
            <a:r>
              <a:rPr lang="en-US" sz="1000" baseline="0">
                <a:latin typeface="Times New Roman" panose="02020603050405020304" pitchFamily="18" charset="0"/>
                <a:cs typeface="Times New Roman" panose="02020603050405020304" pitchFamily="18" charset="0"/>
              </a:rPr>
              <a:t> por</a:t>
            </a:r>
            <a:r>
              <a:rPr lang="en-US" sz="1000">
                <a:latin typeface="Times New Roman" panose="02020603050405020304" pitchFamily="18" charset="0"/>
                <a:cs typeface="Times New Roman" panose="02020603050405020304" pitchFamily="18" charset="0"/>
              </a:rPr>
              <a:t> região  </a:t>
            </a:r>
          </a:p>
        </c:rich>
      </c:tx>
      <c:layout>
        <c:manualLayout>
          <c:xMode val="edge"/>
          <c:yMode val="edge"/>
          <c:x val="0.31527848009824461"/>
          <c:y val="2.6364617240396914E-2"/>
        </c:manualLayout>
      </c:layout>
      <c:overlay val="0"/>
    </c:title>
    <c:autoTitleDeleted val="0"/>
    <c:plotArea>
      <c:layout>
        <c:manualLayout>
          <c:layoutTarget val="inner"/>
          <c:xMode val="edge"/>
          <c:yMode val="edge"/>
          <c:x val="2.2365037104174926E-2"/>
          <c:y val="0.12737363761733173"/>
          <c:w val="0.49423535187597956"/>
          <c:h val="0.79328768950070616"/>
        </c:manualLayout>
      </c:layout>
      <c:doughnutChart>
        <c:varyColors val="1"/>
        <c:ser>
          <c:idx val="0"/>
          <c:order val="0"/>
          <c:dLbls>
            <c:dLbl>
              <c:idx val="0"/>
              <c:layout>
                <c:manualLayout>
                  <c:x val="3.1721449610532106E-6"/>
                  <c:y val="1.9047597621749936E-2"/>
                </c:manualLayout>
              </c:layout>
              <c:tx>
                <c:rich>
                  <a:bodyPr/>
                  <a:lstStyle/>
                  <a:p>
                    <a:fld id="{24965B12-069C-4CB3-8FFA-29DEE9FFDE90}" type="VALUE">
                      <a:rPr lang="en-US"/>
                      <a:pPr/>
                      <a:t>[VALOR]</a:t>
                    </a:fld>
                    <a:r>
                      <a:rPr lang="en-US" baseline="0"/>
                      <a:t>;</a:t>
                    </a:r>
                  </a:p>
                  <a:p>
                    <a:r>
                      <a:rPr lang="en-US" baseline="0"/>
                      <a:t> </a:t>
                    </a:r>
                    <a:fld id="{D74C35A8-913F-4472-8395-C8811E5A147C}" type="PERCENTAGE">
                      <a:rPr lang="en-US" baseline="0"/>
                      <a:pPr/>
                      <a:t>[PORCENTAGEM]</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B64-4DC2-A4DE-66FB319ADBDB}"/>
                </c:ext>
              </c:extLst>
            </c:dLbl>
            <c:dLbl>
              <c:idx val="1"/>
              <c:layout>
                <c:manualLayout>
                  <c:x val="-6.3609854218234889E-3"/>
                  <c:y val="4.7618994054374891E-3"/>
                </c:manualLayout>
              </c:layout>
              <c:tx>
                <c:rich>
                  <a:bodyPr/>
                  <a:lstStyle/>
                  <a:p>
                    <a:fld id="{2CEA5FEB-38E8-4F90-94E9-DC91B5D7CB47}" type="VALUE">
                      <a:rPr lang="en-US"/>
                      <a:pPr/>
                      <a:t>[VALOR]</a:t>
                    </a:fld>
                    <a:r>
                      <a:rPr lang="en-US" baseline="0"/>
                      <a:t>;</a:t>
                    </a:r>
                  </a:p>
                  <a:p>
                    <a:r>
                      <a:rPr lang="en-US" baseline="0"/>
                      <a:t> </a:t>
                    </a:r>
                    <a:fld id="{CA8F68D1-D373-42B8-B1A8-EEB3863F0EEA}" type="PERCENTAGE">
                      <a:rPr lang="en-US" baseline="0"/>
                      <a:pPr/>
                      <a:t>[PORCENTAGEM]</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B64-4DC2-A4DE-66FB319ADBDB}"/>
                </c:ext>
              </c:extLst>
            </c:dLbl>
            <c:dLbl>
              <c:idx val="2"/>
              <c:layout>
                <c:manualLayout>
                  <c:x val="1.8206784846234746E-2"/>
                  <c:y val="-9.0476838608730459E-2"/>
                </c:manualLayout>
              </c:layout>
              <c:tx>
                <c:rich>
                  <a:bodyPr/>
                  <a:lstStyle/>
                  <a:p>
                    <a:fld id="{425A9CB6-C6A3-4194-8763-F8FF9B837EB8}" type="VALUE">
                      <a:rPr lang="en-US"/>
                      <a:pPr/>
                      <a:t>[VALOR]</a:t>
                    </a:fld>
                    <a:r>
                      <a:rPr lang="en-US" baseline="0"/>
                      <a:t>;</a:t>
                    </a:r>
                  </a:p>
                  <a:p>
                    <a:r>
                      <a:rPr lang="en-US" baseline="0"/>
                      <a:t> </a:t>
                    </a:r>
                    <a:fld id="{D74EE44F-98E8-47D8-AB80-13074AC108A4}" type="PERCENTAGE">
                      <a:rPr lang="en-US" baseline="0"/>
                      <a:pPr/>
                      <a:t>[PORCENTAGEM]</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B64-4DC2-A4DE-66FB319ADBDB}"/>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pt-BR"/>
              </a:p>
            </c:txPr>
            <c:showLegendKey val="0"/>
            <c:showVal val="1"/>
            <c:showCatName val="0"/>
            <c:showSerName val="0"/>
            <c:showPercent val="1"/>
            <c:showBubbleSize val="0"/>
            <c:showLeaderLines val="1"/>
            <c:extLst>
              <c:ext xmlns:c15="http://schemas.microsoft.com/office/drawing/2012/chart" uri="{CE6537A1-D6FC-4f65-9D91-7224C49458BB}"/>
            </c:extLst>
          </c:dLbls>
          <c:cat>
            <c:strRef>
              <c:f>GRAF.!$B$18:$B$20</c:f>
              <c:strCache>
                <c:ptCount val="3"/>
                <c:pt idx="0">
                  <c:v>Nº Empresas de Taió</c:v>
                </c:pt>
                <c:pt idx="1">
                  <c:v>Nº Empresas do Alto Vale</c:v>
                </c:pt>
                <c:pt idx="2">
                  <c:v>Nº Empresas de fora</c:v>
                </c:pt>
              </c:strCache>
            </c:strRef>
          </c:cat>
          <c:val>
            <c:numRef>
              <c:f>GRAF.!$C$18:$C$20</c:f>
              <c:numCache>
                <c:formatCode>General</c:formatCode>
                <c:ptCount val="3"/>
                <c:pt idx="0">
                  <c:v>93</c:v>
                </c:pt>
                <c:pt idx="1">
                  <c:v>49</c:v>
                </c:pt>
                <c:pt idx="2">
                  <c:v>69</c:v>
                </c:pt>
              </c:numCache>
            </c:numRef>
          </c:val>
          <c:extLst>
            <c:ext xmlns:c16="http://schemas.microsoft.com/office/drawing/2014/chart" uri="{C3380CC4-5D6E-409C-BE32-E72D297353CC}">
              <c16:uniqueId val="{00000003-1B64-4DC2-A4DE-66FB319ADBDB}"/>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9074007138902118"/>
          <c:y val="0.21369379786974368"/>
          <c:w val="0.37533453627463959"/>
          <c:h val="0.66308849296382488"/>
        </c:manualLayout>
      </c:layout>
      <c:overlay val="1"/>
      <c:txPr>
        <a:bodyPr/>
        <a:lstStyle/>
        <a:p>
          <a:pPr>
            <a:defRPr sz="1000"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Valor das empresas vencedoras por região</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pt-BR"/>
        </a:p>
      </c:txPr>
    </c:title>
    <c:autoTitleDeleted val="0"/>
    <c:plotArea>
      <c:layout>
        <c:manualLayout>
          <c:layoutTarget val="inner"/>
          <c:xMode val="edge"/>
          <c:yMode val="edge"/>
          <c:x val="2.9624442191516023E-2"/>
          <c:y val="0.14135040605356872"/>
          <c:w val="0.44927915050788281"/>
          <c:h val="0.8547581148949837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56-4A1A-B2F6-76FFD33396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56-4A1A-B2F6-76FFD33396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356-4A1A-B2F6-76FFD33396D8}"/>
              </c:ext>
            </c:extLst>
          </c:dPt>
          <c:dLbls>
            <c:dLbl>
              <c:idx val="0"/>
              <c:layout>
                <c:manualLayout>
                  <c:x val="-0.18145687378664191"/>
                  <c:y val="0.17469726862358248"/>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6DA474B-6E16-449D-B3CC-34FFED8A6C0E}" type="VALUE">
                      <a:rPr lang="en-US" sz="100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[VALOR]</a:t>
                    </a:fld>
                    <a:r>
                      <a:rPr lang="en-US" sz="1000" baseline="0">
                        <a:latin typeface="Times New Roman" panose="02020603050405020304" pitchFamily="18" charset="0"/>
                        <a:cs typeface="Times New Roman" panose="02020603050405020304" pitchFamily="18" charset="0"/>
                      </a:rPr>
                      <a:t>; </a:t>
                    </a:r>
                  </a:p>
                  <a:p>
                    <a:pPr>
                      <a:defRPr sz="1000" b="1">
                        <a:solidFill>
                          <a:sysClr val="windowText" lastClr="000000"/>
                        </a:solidFill>
                        <a:latin typeface="Times New Roman" panose="02020603050405020304" pitchFamily="18" charset="0"/>
                        <a:cs typeface="Times New Roman" panose="02020603050405020304" pitchFamily="18" charset="0"/>
                      </a:defRPr>
                    </a:pPr>
                    <a:fld id="{706CFD2E-CC06-440B-BDDE-873230E567E1}" type="PERCENTAGE">
                      <a:rPr lang="en-US" sz="1000" baseline="0">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[PORCENTAGEM]</a:t>
                    </a:fld>
                    <a:endParaRPr lang="pt-B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6468649002626848"/>
                      <c:h val="0.26810873859862971"/>
                    </c:manualLayout>
                  </c15:layout>
                  <c15:dlblFieldTable/>
                  <c15:showDataLabelsRange val="0"/>
                </c:ext>
                <c:ext xmlns:c16="http://schemas.microsoft.com/office/drawing/2014/chart" uri="{C3380CC4-5D6E-409C-BE32-E72D297353CC}">
                  <c16:uniqueId val="{00000001-B356-4A1A-B2F6-76FFD33396D8}"/>
                </c:ext>
              </c:extLst>
            </c:dLbl>
            <c:dLbl>
              <c:idx val="1"/>
              <c:layout>
                <c:manualLayout>
                  <c:x val="7.384356796352751E-3"/>
                  <c:y val="-2.5258150841355391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3843008033531021"/>
                      <c:h val="0.28590258220895859"/>
                    </c:manualLayout>
                  </c15:layout>
                </c:ext>
                <c:ext xmlns:c16="http://schemas.microsoft.com/office/drawing/2014/chart" uri="{C3380CC4-5D6E-409C-BE32-E72D297353CC}">
                  <c16:uniqueId val="{00000003-B356-4A1A-B2F6-76FFD33396D8}"/>
                </c:ext>
              </c:extLst>
            </c:dLbl>
            <c:dLbl>
              <c:idx val="2"/>
              <c:layout>
                <c:manualLayout>
                  <c:x val="1.5468539945492106E-2"/>
                  <c:y val="9.879296092359855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22530187548983108"/>
                      <c:h val="0.25476335589088311"/>
                    </c:manualLayout>
                  </c15:layout>
                </c:ext>
                <c:ext xmlns:c16="http://schemas.microsoft.com/office/drawing/2014/chart" uri="{C3380CC4-5D6E-409C-BE32-E72D297353CC}">
                  <c16:uniqueId val="{00000005-B356-4A1A-B2F6-76FFD33396D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GRAF.!$B$24:$B$26</c:f>
              <c:strCache>
                <c:ptCount val="3"/>
                <c:pt idx="0">
                  <c:v>Valor Empresas de Taió</c:v>
                </c:pt>
                <c:pt idx="1">
                  <c:v>Valor Empresas do Alto Vale</c:v>
                </c:pt>
                <c:pt idx="2">
                  <c:v>Valor Empresas de Fora</c:v>
                </c:pt>
              </c:strCache>
            </c:strRef>
          </c:cat>
          <c:val>
            <c:numRef>
              <c:f>GRAF.!$E$24:$E$26</c:f>
              <c:numCache>
                <c:formatCode>_-"R$"\ * #,##0.00_-;\-"R$"\ * #,##0.00_-;_-"R$"\ * "-"??_-;_-@_-</c:formatCode>
                <c:ptCount val="3"/>
                <c:pt idx="0">
                  <c:v>4041684.17</c:v>
                </c:pt>
                <c:pt idx="1">
                  <c:v>3670227.5499999993</c:v>
                </c:pt>
                <c:pt idx="2">
                  <c:v>3990316.3600000003</c:v>
                </c:pt>
              </c:numCache>
            </c:numRef>
          </c:val>
          <c:extLst>
            <c:ext xmlns:c16="http://schemas.microsoft.com/office/drawing/2014/chart" uri="{C3380CC4-5D6E-409C-BE32-E72D297353CC}">
              <c16:uniqueId val="{00000006-B356-4A1A-B2F6-76FFD33396D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026752076952638"/>
          <c:y val="0.29300025262476403"/>
          <c:w val="0.40157713266208089"/>
          <c:h val="0.55330489938757654"/>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pt-BR" sz="1000">
                <a:latin typeface="Times New Roman" panose="02020603050405020304" pitchFamily="18" charset="0"/>
                <a:cs typeface="Times New Roman" panose="02020603050405020304" pitchFamily="18" charset="0"/>
              </a:rPr>
              <a:t>Quantidade de participações ME/EPP por região</a:t>
            </a:r>
          </a:p>
        </c:rich>
      </c:tx>
      <c:layout>
        <c:manualLayout>
          <c:xMode val="edge"/>
          <c:yMode val="edge"/>
          <c:x val="0.35562701828633397"/>
          <c:y val="2.5512622429280925E-2"/>
        </c:manualLayout>
      </c:layout>
      <c:overlay val="0"/>
    </c:title>
    <c:autoTitleDeleted val="0"/>
    <c:plotArea>
      <c:layout>
        <c:manualLayout>
          <c:layoutTarget val="inner"/>
          <c:xMode val="edge"/>
          <c:yMode val="edge"/>
          <c:x val="5.0760598388099015E-2"/>
          <c:y val="0.11320664135531792"/>
          <c:w val="0.44396037951086509"/>
          <c:h val="0.80919356420078248"/>
        </c:manualLayout>
      </c:layout>
      <c:doughnutChart>
        <c:varyColors val="1"/>
        <c:ser>
          <c:idx val="0"/>
          <c:order val="0"/>
          <c:dLbls>
            <c:dLbl>
              <c:idx val="0"/>
              <c:layout>
                <c:manualLayout>
                  <c:x val="3.1721449610532106E-6"/>
                  <c:y val="1.9047597621749936E-2"/>
                </c:manualLayout>
              </c:layout>
              <c:tx>
                <c:rich>
                  <a:bodyPr/>
                  <a:lstStyle/>
                  <a:p>
                    <a:fld id="{7C678A82-DA1E-4A8B-8C0A-7EEA2B20214C}" type="VALUE">
                      <a:rPr lang="en-US"/>
                      <a:pPr/>
                      <a:t>[VALOR]</a:t>
                    </a:fld>
                    <a:r>
                      <a:rPr lang="en-US" baseline="0"/>
                      <a:t>;</a:t>
                    </a:r>
                  </a:p>
                  <a:p>
                    <a:fld id="{82034E92-F7BC-4147-AE36-D7EAC8BD348E}" type="PERCENTAGE">
                      <a:rPr lang="en-US" baseline="0"/>
                      <a:pPr/>
                      <a:t>[PORCENTAGEM]</a:t>
                    </a:fld>
                    <a:endParaRPr lang="pt-B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382-4975-9E3C-3B538B768566}"/>
                </c:ext>
              </c:extLst>
            </c:dLbl>
            <c:dLbl>
              <c:idx val="1"/>
              <c:layout>
                <c:manualLayout>
                  <c:x val="-6.3609854218234889E-3"/>
                  <c:y val="4.7618994054374891E-3"/>
                </c:manualLayout>
              </c:layout>
              <c:tx>
                <c:rich>
                  <a:bodyPr/>
                  <a:lstStyle/>
                  <a:p>
                    <a:fld id="{6EDFFDD5-B4D9-4DC8-A42D-0E7111A0BE89}" type="VALUE">
                      <a:rPr lang="en-US"/>
                      <a:pPr/>
                      <a:t>[VALOR]</a:t>
                    </a:fld>
                    <a:r>
                      <a:rPr lang="en-US" baseline="0"/>
                      <a:t>; </a:t>
                    </a:r>
                  </a:p>
                  <a:p>
                    <a:fld id="{BC1A4011-708B-4854-8BA9-D060ADB9265B}" type="PERCENTAGE">
                      <a:rPr lang="en-US" baseline="0"/>
                      <a:pPr/>
                      <a:t>[PORCENTAGEM]</a:t>
                    </a:fld>
                    <a:endParaRPr lang="pt-B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382-4975-9E3C-3B538B768566}"/>
                </c:ext>
              </c:extLst>
            </c:dLbl>
            <c:dLbl>
              <c:idx val="2"/>
              <c:layout>
                <c:manualLayout>
                  <c:x val="1.8206745450553192E-2"/>
                  <c:y val="-4.4161112586452521E-2"/>
                </c:manualLayout>
              </c:layout>
              <c:tx>
                <c:rich>
                  <a:bodyPr/>
                  <a:lstStyle/>
                  <a:p>
                    <a:fld id="{F439B28C-3F7D-4974-AB98-C5DF4BEC3330}" type="VALUE">
                      <a:rPr lang="en-US"/>
                      <a:pPr/>
                      <a:t>[VALOR]</a:t>
                    </a:fld>
                    <a:r>
                      <a:rPr lang="en-US" baseline="0"/>
                      <a:t>; </a:t>
                    </a:r>
                  </a:p>
                  <a:p>
                    <a:fld id="{BCC9C979-565C-46F1-86E1-E79BFFFD0200}" type="PERCENTAGE">
                      <a:rPr lang="en-US" baseline="0"/>
                      <a:pPr/>
                      <a:t>[PORCENTAGEM]</a:t>
                    </a:fld>
                    <a:endParaRPr lang="pt-B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382-4975-9E3C-3B538B768566}"/>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pt-BR"/>
              </a:p>
            </c:txPr>
            <c:showLegendKey val="0"/>
            <c:showVal val="1"/>
            <c:showCatName val="0"/>
            <c:showSerName val="0"/>
            <c:showPercent val="1"/>
            <c:showBubbleSize val="0"/>
            <c:showLeaderLines val="1"/>
            <c:extLst>
              <c:ext xmlns:c15="http://schemas.microsoft.com/office/drawing/2012/chart" uri="{CE6537A1-D6FC-4f65-9D91-7224C49458BB}"/>
            </c:extLst>
          </c:dLbls>
          <c:cat>
            <c:strRef>
              <c:f>GRAF.!$B$50:$B$52</c:f>
              <c:strCache>
                <c:ptCount val="3"/>
                <c:pt idx="0">
                  <c:v>Nº Empresas ME de Taió</c:v>
                </c:pt>
                <c:pt idx="1">
                  <c:v>Nº Empresas ME do Alto Vale</c:v>
                </c:pt>
                <c:pt idx="2">
                  <c:v>Nº Empresas ME de fora</c:v>
                </c:pt>
              </c:strCache>
            </c:strRef>
          </c:cat>
          <c:val>
            <c:numRef>
              <c:f>GRAF.!$C$50:$C$52</c:f>
              <c:numCache>
                <c:formatCode>General</c:formatCode>
                <c:ptCount val="3"/>
                <c:pt idx="0">
                  <c:v>76</c:v>
                </c:pt>
                <c:pt idx="1">
                  <c:v>26</c:v>
                </c:pt>
                <c:pt idx="2">
                  <c:v>39</c:v>
                </c:pt>
              </c:numCache>
            </c:numRef>
          </c:val>
          <c:extLst>
            <c:ext xmlns:c16="http://schemas.microsoft.com/office/drawing/2014/chart" uri="{C3380CC4-5D6E-409C-BE32-E72D297353CC}">
              <c16:uniqueId val="{00000003-F382-4975-9E3C-3B538B768566}"/>
            </c:ext>
          </c:extLst>
        </c:ser>
        <c:dLbls>
          <c:showLegendKey val="0"/>
          <c:showVal val="0"/>
          <c:showCatName val="0"/>
          <c:showSerName val="0"/>
          <c:showPercent val="0"/>
          <c:showBubbleSize val="0"/>
          <c:showLeaderLines val="1"/>
        </c:dLbls>
        <c:firstSliceAng val="173"/>
        <c:holeSize val="50"/>
      </c:doughnutChart>
    </c:plotArea>
    <c:legend>
      <c:legendPos val="r"/>
      <c:layout>
        <c:manualLayout>
          <c:xMode val="edge"/>
          <c:yMode val="edge"/>
          <c:x val="0.5496066701909611"/>
          <c:y val="0.21369379786974368"/>
          <c:w val="0.44200866234476865"/>
          <c:h val="0.66308849296382488"/>
        </c:manualLayout>
      </c:layout>
      <c:overlay val="1"/>
      <c:txPr>
        <a:bodyPr/>
        <a:lstStyle/>
        <a:p>
          <a:pPr>
            <a:defRPr sz="1000"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Valor das empresas</a:t>
            </a:r>
            <a:r>
              <a:rPr lang="en-US" sz="1000" b="1" baseline="0">
                <a:solidFill>
                  <a:sysClr val="windowText" lastClr="000000"/>
                </a:solidFill>
                <a:latin typeface="Times New Roman" panose="02020603050405020304" pitchFamily="18" charset="0"/>
                <a:cs typeface="Times New Roman" panose="02020603050405020304" pitchFamily="18" charset="0"/>
              </a:rPr>
              <a:t> vencedoras</a:t>
            </a:r>
            <a:r>
              <a:rPr lang="en-US" sz="1000" b="1">
                <a:solidFill>
                  <a:sysClr val="windowText" lastClr="000000"/>
                </a:solidFill>
                <a:latin typeface="Times New Roman" panose="02020603050405020304" pitchFamily="18" charset="0"/>
                <a:cs typeface="Times New Roman" panose="02020603050405020304" pitchFamily="18" charset="0"/>
              </a:rPr>
              <a:t> ME/EPP por região</a:t>
            </a:r>
          </a:p>
        </c:rich>
      </c:tx>
      <c:layout>
        <c:manualLayout>
          <c:xMode val="edge"/>
          <c:yMode val="edge"/>
          <c:x val="0.31584723475771065"/>
          <c:y val="3.1832651205093224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1.9191869754854679E-2"/>
          <c:y val="0.11250998127280477"/>
          <c:w val="0.41499914510686164"/>
          <c:h val="0.8256343344639751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0E-4D1A-AC8E-846CD55186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0E-4D1A-AC8E-846CD55186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0E-4D1A-AC8E-846CD55186F3}"/>
              </c:ext>
            </c:extLst>
          </c:dPt>
          <c:dLbls>
            <c:dLbl>
              <c:idx val="0"/>
              <c:layout>
                <c:manualLayout>
                  <c:x val="-0.150194886662359"/>
                  <c:y val="5.280812257479826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20E-4D1A-AC8E-846CD55186F3}"/>
                </c:ext>
              </c:extLst>
            </c:dLbl>
            <c:dLbl>
              <c:idx val="1"/>
              <c:layout>
                <c:manualLayout>
                  <c:x val="8.968523719792737E-2"/>
                  <c:y val="-6.875801388494540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20E-4D1A-AC8E-846CD55186F3}"/>
                </c:ext>
              </c:extLst>
            </c:dLbl>
            <c:dLbl>
              <c:idx val="2"/>
              <c:layout>
                <c:manualLayout>
                  <c:x val="1.6232184430137665E-2"/>
                  <c:y val="3.725460638375194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20E-4D1A-AC8E-846CD55186F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GRAF.!$B$73:$B$75</c:f>
              <c:strCache>
                <c:ptCount val="3"/>
                <c:pt idx="0">
                  <c:v>Valor Empresas ME/EPP de Taió</c:v>
                </c:pt>
                <c:pt idx="1">
                  <c:v>Valor Empresas ME/EPP do Alto Vale</c:v>
                </c:pt>
                <c:pt idx="2">
                  <c:v>Valor Empresas ME/EPP de Fora</c:v>
                </c:pt>
              </c:strCache>
            </c:strRef>
          </c:cat>
          <c:val>
            <c:numRef>
              <c:f>GRAF.!$E$73:$E$75</c:f>
              <c:numCache>
                <c:formatCode>_("R$"* #,##0.00_);_("R$"* \(#,##0.00\);_("R$"* "-"??_);_(@_)</c:formatCode>
                <c:ptCount val="3"/>
                <c:pt idx="0">
                  <c:v>2634884.7199999997</c:v>
                </c:pt>
                <c:pt idx="1">
                  <c:v>1741017.3199999998</c:v>
                </c:pt>
                <c:pt idx="2">
                  <c:v>2199448.5699999998</c:v>
                </c:pt>
              </c:numCache>
            </c:numRef>
          </c:val>
          <c:extLst>
            <c:ext xmlns:c16="http://schemas.microsoft.com/office/drawing/2014/chart" uri="{C3380CC4-5D6E-409C-BE32-E72D297353CC}">
              <c16:uniqueId val="{00000006-520E-4D1A-AC8E-846CD55186F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371430562330149"/>
          <c:y val="0.22032405366783045"/>
          <c:w val="0.42281615682995377"/>
          <c:h val="0.6442527935136274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pt-BR" sz="1000">
                <a:latin typeface="Times New Roman" panose="02020603050405020304" pitchFamily="18" charset="0"/>
                <a:cs typeface="Times New Roman" panose="02020603050405020304" pitchFamily="18" charset="0"/>
              </a:rPr>
              <a:t>Valor total/economia</a:t>
            </a:r>
            <a:r>
              <a:rPr lang="pt-BR" sz="1000" baseline="0">
                <a:latin typeface="Times New Roman" panose="02020603050405020304" pitchFamily="18" charset="0"/>
                <a:cs typeface="Times New Roman" panose="02020603050405020304" pitchFamily="18" charset="0"/>
              </a:rPr>
              <a:t> - ano 2018</a:t>
            </a:r>
            <a:endParaRPr lang="pt-BR" sz="1000">
              <a:latin typeface="Times New Roman" panose="02020603050405020304" pitchFamily="18" charset="0"/>
              <a:cs typeface="Times New Roman" panose="02020603050405020304" pitchFamily="18" charset="0"/>
            </a:endParaRPr>
          </a:p>
        </c:rich>
      </c:tx>
      <c:layout>
        <c:manualLayout>
          <c:xMode val="edge"/>
          <c:yMode val="edge"/>
          <c:x val="0.28697013573828667"/>
          <c:y val="3.7652965171007219E-2"/>
        </c:manualLayout>
      </c:layout>
      <c:overlay val="0"/>
    </c:title>
    <c:autoTitleDeleted val="0"/>
    <c:view3D>
      <c:rotX val="30"/>
      <c:rotY val="135"/>
      <c:rAngAx val="0"/>
    </c:view3D>
    <c:floor>
      <c:thickness val="0"/>
    </c:floor>
    <c:sideWall>
      <c:thickness val="0"/>
    </c:sideWall>
    <c:backWall>
      <c:thickness val="0"/>
    </c:backWall>
    <c:plotArea>
      <c:layout>
        <c:manualLayout>
          <c:layoutTarget val="inner"/>
          <c:xMode val="edge"/>
          <c:yMode val="edge"/>
          <c:x val="1.6683389816706959E-2"/>
          <c:y val="0.23215349542146596"/>
          <c:w val="0.55249661600737054"/>
          <c:h val="0.70127894743513364"/>
        </c:manualLayout>
      </c:layout>
      <c:pie3DChart>
        <c:varyColors val="1"/>
        <c:ser>
          <c:idx val="0"/>
          <c:order val="0"/>
          <c:explosion val="24"/>
          <c:dPt>
            <c:idx val="1"/>
            <c:bubble3D val="0"/>
            <c:explosion val="32"/>
            <c:extLst>
              <c:ext xmlns:c16="http://schemas.microsoft.com/office/drawing/2014/chart" uri="{C3380CC4-5D6E-409C-BE32-E72D297353CC}">
                <c16:uniqueId val="{00000001-D59D-4CA9-B28A-1B5B5EFAE8DE}"/>
              </c:ext>
            </c:extLst>
          </c:dPt>
          <c:dLbls>
            <c:dLbl>
              <c:idx val="0"/>
              <c:layout>
                <c:manualLayout>
                  <c:x val="1.9439435378130719E-2"/>
                  <c:y val="-0.14594695537939151"/>
                </c:manualLayout>
              </c:layout>
              <c:showLegendKey val="0"/>
              <c:showVal val="1"/>
              <c:showCatName val="0"/>
              <c:showSerName val="0"/>
              <c:showPercent val="1"/>
              <c:showBubbleSize val="0"/>
              <c:extLst>
                <c:ext xmlns:c15="http://schemas.microsoft.com/office/drawing/2012/chart" uri="{CE6537A1-D6FC-4f65-9D91-7224C49458BB}">
                  <c15:layout>
                    <c:manualLayout>
                      <c:w val="0.20716870986573263"/>
                      <c:h val="0.17571383746470035"/>
                    </c:manualLayout>
                  </c15:layout>
                </c:ext>
                <c:ext xmlns:c16="http://schemas.microsoft.com/office/drawing/2014/chart" uri="{C3380CC4-5D6E-409C-BE32-E72D297353CC}">
                  <c16:uniqueId val="{00000002-D59D-4CA9-B28A-1B5B5EFAE8DE}"/>
                </c:ext>
              </c:extLst>
            </c:dLbl>
            <c:dLbl>
              <c:idx val="1"/>
              <c:layout>
                <c:manualLayout>
                  <c:x val="2.3574631768641229E-2"/>
                  <c:y val="9.760869604581974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59D-4CA9-B28A-1B5B5EFAE8DE}"/>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pt-BR"/>
              </a:p>
            </c:txPr>
            <c:showLegendKey val="0"/>
            <c:showVal val="1"/>
            <c:showCatName val="0"/>
            <c:showSerName val="0"/>
            <c:showPercent val="0"/>
            <c:showBubbleSize val="0"/>
            <c:showLeaderLines val="1"/>
            <c:extLst>
              <c:ext xmlns:c15="http://schemas.microsoft.com/office/drawing/2012/chart" uri="{CE6537A1-D6FC-4f65-9D91-7224C49458BB}"/>
            </c:extLst>
          </c:dLbls>
          <c:cat>
            <c:strRef>
              <c:f>GRAF.!$B$9:$B$10</c:f>
              <c:strCache>
                <c:ptCount val="2"/>
                <c:pt idx="0">
                  <c:v>Homologados</c:v>
                </c:pt>
                <c:pt idx="1">
                  <c:v>Diferença/economia</c:v>
                </c:pt>
              </c:strCache>
            </c:strRef>
          </c:cat>
          <c:val>
            <c:numRef>
              <c:f>GRAF.!$C$9:$C$10</c:f>
              <c:numCache>
                <c:formatCode>_-"R$"\ * #,##0.00_-;\-"R$"\ * #,##0.00_-;_-"R$"\ * "-"??_-;_-@_-</c:formatCode>
                <c:ptCount val="2"/>
                <c:pt idx="0">
                  <c:v>14452743.9</c:v>
                </c:pt>
                <c:pt idx="1">
                  <c:v>2416195.96</c:v>
                </c:pt>
              </c:numCache>
            </c:numRef>
          </c:val>
          <c:extLst>
            <c:ext xmlns:c16="http://schemas.microsoft.com/office/drawing/2014/chart" uri="{C3380CC4-5D6E-409C-BE32-E72D297353CC}">
              <c16:uniqueId val="{00000003-D59D-4CA9-B28A-1B5B5EFAE8DE}"/>
            </c:ext>
          </c:extLst>
        </c:ser>
        <c:dLbls>
          <c:showLegendKey val="0"/>
          <c:showVal val="0"/>
          <c:showCatName val="0"/>
          <c:showSerName val="0"/>
          <c:showPercent val="0"/>
          <c:showBubbleSize val="0"/>
          <c:showLeaderLines val="1"/>
        </c:dLbls>
      </c:pie3DChart>
    </c:plotArea>
    <c:legend>
      <c:legendPos val="r"/>
      <c:layout>
        <c:manualLayout>
          <c:xMode val="edge"/>
          <c:yMode val="edge"/>
          <c:x val="0.685758724603869"/>
          <c:y val="0.24661295316803411"/>
          <c:w val="0.29648793900762405"/>
          <c:h val="0.37324060979518364"/>
        </c:manualLayout>
      </c:layout>
      <c:overlay val="0"/>
      <c:txPr>
        <a:bodyPr/>
        <a:lstStyle/>
        <a:p>
          <a:pPr>
            <a:defRPr sz="1000"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pt-BR" sz="1000" b="1" i="0" baseline="0">
                <a:effectLst/>
                <a:latin typeface="Times New Roman" panose="02020603050405020304" pitchFamily="18" charset="0"/>
                <a:cs typeface="Times New Roman" panose="02020603050405020304" pitchFamily="18" charset="0"/>
              </a:rPr>
              <a:t>Áreas de aplicação dos recursos no ano 2018</a:t>
            </a:r>
            <a:endParaRPr lang="pt-BR" sz="1000">
              <a:effectLst/>
              <a:latin typeface="Times New Roman" panose="02020603050405020304" pitchFamily="18" charset="0"/>
              <a:cs typeface="Times New Roman" panose="02020603050405020304" pitchFamily="18" charset="0"/>
            </a:endParaRPr>
          </a:p>
        </c:rich>
      </c:tx>
      <c:layout>
        <c:manualLayout>
          <c:xMode val="edge"/>
          <c:yMode val="edge"/>
          <c:x val="0.39871934227155009"/>
          <c:y val="4.181214062195221E-2"/>
        </c:manualLayout>
      </c:layout>
      <c:overlay val="0"/>
    </c:title>
    <c:autoTitleDeleted val="0"/>
    <c:view3D>
      <c:rotX val="30"/>
      <c:rotY val="175"/>
      <c:rAngAx val="0"/>
    </c:view3D>
    <c:floor>
      <c:thickness val="0"/>
    </c:floor>
    <c:sideWall>
      <c:thickness val="0"/>
    </c:sideWall>
    <c:backWall>
      <c:thickness val="0"/>
    </c:backWall>
    <c:plotArea>
      <c:layout>
        <c:manualLayout>
          <c:layoutTarget val="inner"/>
          <c:xMode val="edge"/>
          <c:yMode val="edge"/>
          <c:x val="1.6629373038753333E-3"/>
          <c:y val="2.8777918745759152E-2"/>
          <c:w val="0.6259901884771164"/>
          <c:h val="0.95143869541212467"/>
        </c:manualLayout>
      </c:layout>
      <c:pie3DChart>
        <c:varyColors val="1"/>
        <c:ser>
          <c:idx val="0"/>
          <c:order val="0"/>
          <c:explosion val="36"/>
          <c:dLbls>
            <c:dLbl>
              <c:idx val="0"/>
              <c:layout>
                <c:manualLayout>
                  <c:x val="-4.9368499141754792E-2"/>
                  <c:y val="4.956928363686213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97A-4397-B2F6-75F5644DE531}"/>
                </c:ext>
              </c:extLst>
            </c:dLbl>
            <c:dLbl>
              <c:idx val="1"/>
              <c:layout>
                <c:manualLayout>
                  <c:x val="-1.4292279554409971E-2"/>
                  <c:y val="-0.1268018471358018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97A-4397-B2F6-75F5644DE531}"/>
                </c:ext>
              </c:extLst>
            </c:dLbl>
            <c:dLbl>
              <c:idx val="2"/>
              <c:layout>
                <c:manualLayout>
                  <c:x val="-3.6403132759745473E-2"/>
                  <c:y val="0.1466577803975749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97A-4397-B2F6-75F5644DE531}"/>
                </c:ext>
              </c:extLst>
            </c:dLbl>
            <c:dLbl>
              <c:idx val="3"/>
              <c:layout>
                <c:manualLayout>
                  <c:x val="7.8250682259876497E-3"/>
                  <c:y val="-0.1480377304139784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97A-4397-B2F6-75F5644DE531}"/>
                </c:ext>
              </c:extLst>
            </c:dLbl>
            <c:dLbl>
              <c:idx val="4"/>
              <c:layout>
                <c:manualLayout>
                  <c:x val="-1.0929566343392513E-5"/>
                  <c:y val="-0.1133444890749395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97A-4397-B2F6-75F5644DE531}"/>
                </c:ext>
              </c:extLst>
            </c:dLbl>
            <c:dLbl>
              <c:idx val="5"/>
              <c:layout>
                <c:manualLayout>
                  <c:x val="1.3983959768434437E-2"/>
                  <c:y val="-0.1651636993453798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97A-4397-B2F6-75F5644DE531}"/>
                </c:ext>
              </c:extLst>
            </c:dLbl>
            <c:dLbl>
              <c:idx val="6"/>
              <c:layout>
                <c:manualLayout>
                  <c:x val="0.11209195094608844"/>
                  <c:y val="-0.1331196524954348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97A-4397-B2F6-75F5644DE531}"/>
                </c:ext>
              </c:extLst>
            </c:dLbl>
            <c:dLbl>
              <c:idx val="7"/>
              <c:layout>
                <c:manualLayout>
                  <c:x val="0.14270011741717195"/>
                  <c:y val="-5.550003166382041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97A-4397-B2F6-75F5644DE531}"/>
                </c:ext>
              </c:extLst>
            </c:dLbl>
            <c:dLbl>
              <c:idx val="8"/>
              <c:layout>
                <c:manualLayout>
                  <c:x val="0.14657120166882709"/>
                  <c:y val="-0.10059322102363007"/>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97A-4397-B2F6-75F5644DE531}"/>
                </c:ext>
              </c:extLst>
            </c:dLbl>
            <c:dLbl>
              <c:idx val="9"/>
              <c:layout>
                <c:manualLayout>
                  <c:x val="0.17102232305074128"/>
                  <c:y val="-2.362381609236140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97A-4397-B2F6-75F5644DE531}"/>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pt-BR"/>
              </a:p>
            </c:tx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GRAF.!$B$29:$B$32</c:f>
              <c:strCache>
                <c:ptCount val="4"/>
                <c:pt idx="0">
                  <c:v>Câmara de vereadores</c:v>
                </c:pt>
                <c:pt idx="1">
                  <c:v>Secretaria da saúde</c:v>
                </c:pt>
                <c:pt idx="2">
                  <c:v>Município de Taió</c:v>
                </c:pt>
                <c:pt idx="3">
                  <c:v>Secretaria de assistência social</c:v>
                </c:pt>
              </c:strCache>
            </c:strRef>
          </c:cat>
          <c:val>
            <c:numRef>
              <c:f>GRAF.!$D$29:$D$32</c:f>
              <c:numCache>
                <c:formatCode>_-"R$"\ * #,##0.00_-;\-"R$"\ * #,##0.00_-;_-"R$"\ * "-"??_-;_-@_-</c:formatCode>
                <c:ptCount val="4"/>
                <c:pt idx="0">
                  <c:v>79900</c:v>
                </c:pt>
                <c:pt idx="1">
                  <c:v>790200</c:v>
                </c:pt>
                <c:pt idx="2">
                  <c:v>13423185.550000001</c:v>
                </c:pt>
                <c:pt idx="3">
                  <c:v>158735.98000000001</c:v>
                </c:pt>
              </c:numCache>
            </c:numRef>
          </c:val>
          <c:extLst>
            <c:ext xmlns:c16="http://schemas.microsoft.com/office/drawing/2014/chart" uri="{C3380CC4-5D6E-409C-BE32-E72D297353CC}">
              <c16:uniqueId val="{0000000A-197A-4397-B2F6-75F5644DE531}"/>
            </c:ext>
          </c:extLst>
        </c:ser>
        <c:dLbls>
          <c:showLegendKey val="0"/>
          <c:showVal val="0"/>
          <c:showCatName val="0"/>
          <c:showSerName val="0"/>
          <c:showPercent val="0"/>
          <c:showBubbleSize val="0"/>
          <c:showLeaderLines val="1"/>
        </c:dLbls>
      </c:pie3DChart>
    </c:plotArea>
    <c:legend>
      <c:legendPos val="r"/>
      <c:layout>
        <c:manualLayout>
          <c:xMode val="edge"/>
          <c:yMode val="edge"/>
          <c:x val="0.67915351756375908"/>
          <c:y val="0.22551730622021054"/>
          <c:w val="0.31560539250009395"/>
          <c:h val="0.56083582495605766"/>
        </c:manualLayout>
      </c:layout>
      <c:overlay val="0"/>
      <c:txPr>
        <a:bodyPr/>
        <a:lstStyle/>
        <a:p>
          <a:pPr>
            <a:defRPr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9E446-3213-4982-863F-D9522FEB2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Pages>
  <Words>21554</Words>
  <Characters>116395</Characters>
  <Application>Microsoft Office Word</Application>
  <DocSecurity>0</DocSecurity>
  <Lines>969</Lines>
  <Paragraphs>275</Paragraphs>
  <ScaleCrop>false</ScaleCrop>
  <HeadingPairs>
    <vt:vector size="2" baseType="variant">
      <vt:variant>
        <vt:lpstr>Título</vt:lpstr>
      </vt:variant>
      <vt:variant>
        <vt:i4>1</vt:i4>
      </vt:variant>
    </vt:vector>
  </HeadingPairs>
  <TitlesOfParts>
    <vt:vector size="1" baseType="lpstr">
      <vt:lpstr>Estrutura TCC Unidavi 2020</vt:lpstr>
    </vt:vector>
  </TitlesOfParts>
  <Company/>
  <LinksUpToDate>false</LinksUpToDate>
  <CharactersWithSpaces>137674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Estrutura TCC Unidavi 2020</dc:title>
  <dc:subject/>
  <dc:creator>Jeancarlo Visentainer</dc:creator>
  <cp:keywords/>
  <dc:description/>
  <cp:lastModifiedBy>CentroTell</cp:lastModifiedBy>
  <cp:revision>24</cp:revision>
  <dcterms:created xsi:type="dcterms:W3CDTF">2021-11-28T18:48:00Z</dcterms:created>
  <dcterms:modified xsi:type="dcterms:W3CDTF">2021-12-15T15:34:00Z</dcterms:modified>
</cp:coreProperties>
</file>